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ffffff" w:val="clear"/>
        <w:tabs>
          <w:tab w:val="left" w:leader="none" w:pos="708"/>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ffffff" w:val="clear"/>
        <w:tabs>
          <w:tab w:val="left" w:leader="none" w:pos="708"/>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Termes de référence pour le recrutement d’un(e) consultant(e) assistant(e) pour la mise en œuvre des </w:t>
      </w:r>
      <w:r w:rsidDel="00000000" w:rsidR="00000000" w:rsidRPr="00000000">
        <w:rPr>
          <w:b w:val="1"/>
          <w:sz w:val="24"/>
          <w:szCs w:val="24"/>
          <w:rtl w:val="0"/>
        </w:rPr>
        <w:t xml:space="preserve">projets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 l’UICN-Med en Tunisie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08"/>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08"/>
        </w:tabs>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tbl>
      <w:tblPr>
        <w:tblStyle w:val="Table1"/>
        <w:tblW w:w="9787.0" w:type="dxa"/>
        <w:jc w:val="left"/>
        <w:tblInd w:w="-5.0" w:type="dxa"/>
        <w:tblLayout w:type="fixed"/>
        <w:tblLook w:val="0000"/>
      </w:tblPr>
      <w:tblGrid>
        <w:gridCol w:w="3085"/>
        <w:gridCol w:w="6702"/>
        <w:tblGridChange w:id="0">
          <w:tblGrid>
            <w:gridCol w:w="3085"/>
            <w:gridCol w:w="6702"/>
          </w:tblGrid>
        </w:tblGridChange>
      </w:tblGrid>
      <w:tr>
        <w:trPr>
          <w:cantSplit w:val="0"/>
          <w:tblHeader w:val="0"/>
        </w:trPr>
        <w:tc>
          <w:tcPr>
            <w:tcBorders>
              <w:top w:color="000000" w:space="0" w:sz="4" w:val="single"/>
              <w:left w:color="000000" w:space="0" w:sz="4" w:val="single"/>
              <w:bottom w:color="000000" w:space="0" w:sz="4" w:val="single"/>
            </w:tcBorders>
            <w:shd w:fill="bfbfbf" w:val="clea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Employeur</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 Centre de Coopération pour la Méditerranée de l'UICN (UICN-Med) </w:t>
            </w:r>
          </w:p>
        </w:tc>
      </w:tr>
      <w:tr>
        <w:trPr>
          <w:cantSplit w:val="0"/>
          <w:tblHeader w:val="0"/>
        </w:trPr>
        <w:tc>
          <w:tcPr>
            <w:tcBorders>
              <w:top w:color="000000" w:space="0" w:sz="4" w:val="single"/>
              <w:left w:color="000000" w:space="0" w:sz="4" w:val="single"/>
              <w:bottom w:color="000000" w:space="0" w:sz="4" w:val="single"/>
            </w:tcBorders>
            <w:shd w:fill="bfbfbf" w:val="cle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Titre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Assistant</w:t>
            </w:r>
            <w:r w:rsidDel="00000000" w:rsidR="00000000" w:rsidRPr="00000000">
              <w:rPr>
                <w:sz w:val="20"/>
                <w:szCs w:val="20"/>
                <w:rtl w:val="0"/>
              </w:rPr>
              <w:t xml:space="preserv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de projet de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 l’UICN-Med en Tunisie</w:t>
            </w:r>
          </w:p>
        </w:tc>
      </w:tr>
      <w:tr>
        <w:trPr>
          <w:cantSplit w:val="0"/>
          <w:tblHeader w:val="0"/>
        </w:trPr>
        <w:tc>
          <w:tcPr>
            <w:tcBorders>
              <w:top w:color="000000" w:space="0" w:sz="4" w:val="single"/>
              <w:left w:color="000000" w:space="0" w:sz="4" w:val="single"/>
              <w:bottom w:color="000000" w:space="0" w:sz="4" w:val="single"/>
            </w:tcBorders>
            <w:shd w:fill="bfbfbf" w:val="clea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Lieu de travail</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Tunis </w:t>
            </w:r>
          </w:p>
        </w:tc>
      </w:tr>
      <w:tr>
        <w:trPr>
          <w:cantSplit w:val="0"/>
          <w:tblHeader w:val="0"/>
        </w:trPr>
        <w:tc>
          <w:tcPr>
            <w:tcBorders>
              <w:top w:color="000000" w:space="0" w:sz="4" w:val="single"/>
              <w:left w:color="000000" w:space="0" w:sz="4" w:val="single"/>
              <w:bottom w:color="000000" w:space="0" w:sz="4" w:val="single"/>
            </w:tcBorders>
            <w:shd w:fill="bfbfbf" w:val="clea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Type de contrat</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Contrat de service </w:t>
            </w:r>
          </w:p>
        </w:tc>
      </w:tr>
      <w:tr>
        <w:trPr>
          <w:cantSplit w:val="0"/>
          <w:tblHeader w:val="0"/>
        </w:trPr>
        <w:tc>
          <w:tcPr>
            <w:tcBorders>
              <w:top w:color="000000" w:space="0" w:sz="4" w:val="single"/>
              <w:left w:color="000000" w:space="0" w:sz="4" w:val="single"/>
              <w:bottom w:color="000000" w:space="0" w:sz="4" w:val="single"/>
            </w:tcBorders>
            <w:shd w:fill="bfbfbf" w:val="clea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Durée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homme/mois étalé sur </w:t>
            </w:r>
            <w:r w:rsidDel="00000000" w:rsidR="00000000" w:rsidRPr="00000000">
              <w:rPr>
                <w:sz w:val="20"/>
                <w:szCs w:val="20"/>
                <w:rtl w:val="0"/>
              </w:rPr>
              <w:t xml:space="preserve">12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mois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bfbfbf" w:val="clea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prévue de démarrage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r w:rsidDel="00000000" w:rsidR="00000000" w:rsidRPr="00000000">
              <w:rPr>
                <w:sz w:val="20"/>
                <w:szCs w:val="20"/>
                <w:rtl w:val="0"/>
              </w:rPr>
              <w:t xml:space="preserve">5 décembre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2023</w:t>
            </w:r>
          </w:p>
        </w:tc>
      </w:tr>
    </w:tb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08"/>
        </w:tabs>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08"/>
        </w:tabs>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13">
      <w:pPr>
        <w:pStyle w:val="Heading1"/>
        <w:rPr>
          <w:sz w:val="20"/>
          <w:szCs w:val="20"/>
        </w:rPr>
      </w:pPr>
      <w:bookmarkStart w:colFirst="0" w:colLast="0" w:name="_heading=h.gjdgxs" w:id="0"/>
      <w:bookmarkEnd w:id="0"/>
      <w:r w:rsidDel="00000000" w:rsidR="00000000" w:rsidRPr="00000000">
        <w:rPr>
          <w:sz w:val="20"/>
          <w:szCs w:val="20"/>
          <w:rtl w:val="0"/>
        </w:rPr>
        <w:t xml:space="preserve">Contexte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08"/>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 Centre de Coopération pour la Méditerranée de l’Union Internationale pour la Conservation de la Nature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(UICN-Med), basé à Malaga, met en œuvre depuis 2009 un Programme de travail quadriennal pour les 5 p</w:t>
      </w:r>
      <w:r w:rsidDel="00000000" w:rsidR="00000000" w:rsidRPr="00000000">
        <w:rPr>
          <w:sz w:val="20"/>
          <w:szCs w:val="20"/>
          <w:rtl w:val="0"/>
        </w:rPr>
        <w:t xml:space="preserve">ays d’Afrique du Nord : Algérie, Egypte, Maroc, Libye et Tunisie. Ce programme est mis en œuvre en partenariat avec ses 37 organisations membres en Afrique du Nord, représentants les ministères de l’environnement et les organisations non-gouvernementales.</w:t>
      </w:r>
    </w:p>
    <w:p w:rsidR="00000000" w:rsidDel="00000000" w:rsidP="00000000" w:rsidRDefault="00000000" w:rsidRPr="00000000" w14:paraId="00000016">
      <w:pPr>
        <w:jc w:val="both"/>
        <w:rPr>
          <w:sz w:val="20"/>
          <w:szCs w:val="20"/>
        </w:rPr>
      </w:pPr>
      <w:r w:rsidDel="00000000" w:rsidR="00000000" w:rsidRPr="00000000">
        <w:rPr>
          <w:rtl w:val="0"/>
        </w:rPr>
      </w:r>
    </w:p>
    <w:p w:rsidR="00000000" w:rsidDel="00000000" w:rsidP="00000000" w:rsidRDefault="00000000" w:rsidRPr="00000000" w14:paraId="00000017">
      <w:pPr>
        <w:jc w:val="both"/>
        <w:rPr>
          <w:sz w:val="20"/>
          <w:szCs w:val="20"/>
        </w:rPr>
      </w:pPr>
      <w:r w:rsidDel="00000000" w:rsidR="00000000" w:rsidRPr="00000000">
        <w:rPr>
          <w:sz w:val="20"/>
          <w:szCs w:val="20"/>
          <w:rtl w:val="0"/>
        </w:rPr>
        <w:t xml:space="preserve">Pour la mise en oeuvre de ce programme, l</w:t>
      </w:r>
      <w:r w:rsidDel="00000000" w:rsidR="00000000" w:rsidRPr="00000000">
        <w:rPr>
          <w:sz w:val="20"/>
          <w:szCs w:val="20"/>
          <w:rtl w:val="0"/>
        </w:rPr>
        <w:t xml:space="preserve">'UICN-Med a défini cinq axes de travail prioritaires</w:t>
      </w:r>
      <w:r w:rsidDel="00000000" w:rsidR="00000000" w:rsidRPr="00000000">
        <w:rPr>
          <w:sz w:val="20"/>
          <w:szCs w:val="20"/>
          <w:rtl w:val="0"/>
        </w:rPr>
        <w:t xml:space="preserve"> qui s’alignent et contribuent aux 5 domaines de l’agenda nature 2030 de l’UICN, traduisant son intérêt pour la région nord-africaine. :</w:t>
      </w:r>
    </w:p>
    <w:p w:rsidR="00000000" w:rsidDel="00000000" w:rsidP="00000000" w:rsidRDefault="00000000" w:rsidRPr="00000000" w14:paraId="00000018">
      <w:pPr>
        <w:numPr>
          <w:ilvl w:val="0"/>
          <w:numId w:val="1"/>
        </w:numPr>
        <w:spacing w:after="0" w:before="0" w:lineRule="auto"/>
        <w:ind w:left="720" w:hanging="360"/>
        <w:jc w:val="both"/>
        <w:rPr>
          <w:sz w:val="20"/>
          <w:szCs w:val="20"/>
          <w:u w:val="none"/>
        </w:rPr>
      </w:pPr>
      <w:r w:rsidDel="00000000" w:rsidR="00000000" w:rsidRPr="00000000">
        <w:rPr>
          <w:sz w:val="20"/>
          <w:szCs w:val="20"/>
          <w:rtl w:val="0"/>
        </w:rPr>
        <w:t xml:space="preserve">   Solutions fondées sur la Nature et le Changement Climatique</w:t>
      </w:r>
    </w:p>
    <w:p w:rsidR="00000000" w:rsidDel="00000000" w:rsidP="00000000" w:rsidRDefault="00000000" w:rsidRPr="00000000" w14:paraId="00000019">
      <w:pPr>
        <w:numPr>
          <w:ilvl w:val="0"/>
          <w:numId w:val="1"/>
        </w:numPr>
        <w:spacing w:after="0" w:before="0" w:lineRule="auto"/>
        <w:ind w:left="720" w:hanging="360"/>
        <w:jc w:val="both"/>
        <w:rPr>
          <w:sz w:val="20"/>
          <w:szCs w:val="20"/>
          <w:u w:val="none"/>
        </w:rPr>
      </w:pPr>
      <w:r w:rsidDel="00000000" w:rsidR="00000000" w:rsidRPr="00000000">
        <w:rPr>
          <w:sz w:val="20"/>
          <w:szCs w:val="20"/>
          <w:rtl w:val="0"/>
        </w:rPr>
        <w:t xml:space="preserve">   Standards et indicateurs de biodiversité  </w:t>
      </w:r>
    </w:p>
    <w:p w:rsidR="00000000" w:rsidDel="00000000" w:rsidP="00000000" w:rsidRDefault="00000000" w:rsidRPr="00000000" w14:paraId="0000001A">
      <w:pPr>
        <w:numPr>
          <w:ilvl w:val="0"/>
          <w:numId w:val="1"/>
        </w:numPr>
        <w:spacing w:after="0" w:before="0" w:lineRule="auto"/>
        <w:ind w:left="720" w:hanging="360"/>
        <w:jc w:val="both"/>
        <w:rPr>
          <w:sz w:val="20"/>
          <w:szCs w:val="20"/>
          <w:u w:val="none"/>
        </w:rPr>
      </w:pPr>
      <w:r w:rsidDel="00000000" w:rsidR="00000000" w:rsidRPr="00000000">
        <w:rPr>
          <w:sz w:val="20"/>
          <w:szCs w:val="20"/>
          <w:rtl w:val="0"/>
        </w:rPr>
        <w:t xml:space="preserve">   Résilience des écosystèmes et aménagement des territoires    </w:t>
      </w:r>
    </w:p>
    <w:p w:rsidR="00000000" w:rsidDel="00000000" w:rsidP="00000000" w:rsidRDefault="00000000" w:rsidRPr="00000000" w14:paraId="0000001B">
      <w:pPr>
        <w:numPr>
          <w:ilvl w:val="0"/>
          <w:numId w:val="1"/>
        </w:numPr>
        <w:spacing w:after="0" w:before="0" w:lineRule="auto"/>
        <w:ind w:left="720" w:hanging="360"/>
        <w:jc w:val="both"/>
        <w:rPr>
          <w:sz w:val="20"/>
          <w:szCs w:val="20"/>
          <w:u w:val="none"/>
        </w:rPr>
      </w:pPr>
      <w:r w:rsidDel="00000000" w:rsidR="00000000" w:rsidRPr="00000000">
        <w:rPr>
          <w:sz w:val="20"/>
          <w:szCs w:val="20"/>
          <w:rtl w:val="0"/>
        </w:rPr>
        <w:t xml:space="preserve">   Biodiversité marine et Economie Bleue</w:t>
      </w:r>
    </w:p>
    <w:p w:rsidR="00000000" w:rsidDel="00000000" w:rsidP="00000000" w:rsidRDefault="00000000" w:rsidRPr="00000000" w14:paraId="0000001C">
      <w:pPr>
        <w:numPr>
          <w:ilvl w:val="0"/>
          <w:numId w:val="1"/>
        </w:numPr>
        <w:spacing w:after="0" w:before="0" w:lineRule="auto"/>
        <w:ind w:left="720" w:hanging="360"/>
        <w:jc w:val="both"/>
        <w:rPr>
          <w:sz w:val="20"/>
          <w:szCs w:val="20"/>
          <w:u w:val="none"/>
        </w:rPr>
      </w:pPr>
      <w:r w:rsidDel="00000000" w:rsidR="00000000" w:rsidRPr="00000000">
        <w:rPr>
          <w:sz w:val="20"/>
          <w:szCs w:val="20"/>
          <w:rtl w:val="0"/>
        </w:rPr>
        <w:t xml:space="preserve">   Conservation de la nature et système alimentaire  </w:t>
      </w:r>
    </w:p>
    <w:p w:rsidR="00000000" w:rsidDel="00000000" w:rsidP="00000000" w:rsidRDefault="00000000" w:rsidRPr="00000000" w14:paraId="0000001D">
      <w:pPr>
        <w:jc w:val="both"/>
        <w:rPr>
          <w:sz w:val="20"/>
          <w:szCs w:val="20"/>
        </w:rPr>
      </w:pPr>
      <w:r w:rsidDel="00000000" w:rsidR="00000000" w:rsidRPr="00000000">
        <w:rPr>
          <w:sz w:val="20"/>
          <w:szCs w:val="20"/>
          <w:rtl w:val="0"/>
        </w:rPr>
        <w:t xml:space="preserve">Pour en savoir plus sur les projets exécutés au sein de ces 5 axes: </w:t>
      </w:r>
      <w:hyperlink r:id="rId7">
        <w:r w:rsidDel="00000000" w:rsidR="00000000" w:rsidRPr="00000000">
          <w:rPr>
            <w:color w:val="1155cc"/>
            <w:sz w:val="20"/>
            <w:szCs w:val="20"/>
            <w:u w:val="single"/>
            <w:rtl w:val="0"/>
          </w:rPr>
          <w:t xml:space="preserve">Our strategic lines | IUCN</w:t>
        </w:r>
      </w:hyperlink>
      <w:r w:rsidDel="00000000" w:rsidR="00000000" w:rsidRPr="00000000">
        <w:rPr>
          <w:rtl w:val="0"/>
        </w:rPr>
      </w:r>
    </w:p>
    <w:p w:rsidR="00000000" w:rsidDel="00000000" w:rsidP="00000000" w:rsidRDefault="00000000" w:rsidRPr="00000000" w14:paraId="0000001E">
      <w:pPr>
        <w:jc w:val="both"/>
        <w:rPr>
          <w:sz w:val="20"/>
          <w:szCs w:val="20"/>
        </w:rPr>
      </w:pPr>
      <w:r w:rsidDel="00000000" w:rsidR="00000000" w:rsidRPr="00000000">
        <w:rPr>
          <w:sz w:val="20"/>
          <w:szCs w:val="20"/>
          <w:rtl w:val="0"/>
        </w:rPr>
        <w:t xml:space="preserve">Ces 5 axes de travail sont implémentés de manière synergique et complémentaire. De manière transversale, l’UICN-Med met également en oeuvre deux programmes d’appui aux organisations de la société civile qui souhaitent s'engager dans des actions de conservation de la nature et de développement local, le PPI OSCAN (Programme de petites initiatives pour les organisations de la société civile en Afrique du Nord) et le TransCap.  </w:t>
      </w:r>
    </w:p>
    <w:p w:rsidR="00000000" w:rsidDel="00000000" w:rsidP="00000000" w:rsidRDefault="00000000" w:rsidRPr="00000000" w14:paraId="0000001F">
      <w:pPr>
        <w:jc w:val="both"/>
        <w:rPr>
          <w:sz w:val="20"/>
          <w:szCs w:val="20"/>
        </w:rPr>
      </w:pPr>
      <w:r w:rsidDel="00000000" w:rsidR="00000000" w:rsidRPr="00000000">
        <w:rPr>
          <w:rtl w:val="0"/>
        </w:rPr>
      </w:r>
    </w:p>
    <w:p w:rsidR="00000000" w:rsidDel="00000000" w:rsidP="00000000" w:rsidRDefault="00000000" w:rsidRPr="00000000" w14:paraId="00000020">
      <w:pPr>
        <w:jc w:val="both"/>
        <w:rPr>
          <w:sz w:val="20"/>
          <w:szCs w:val="20"/>
        </w:rPr>
      </w:pPr>
      <w:r w:rsidDel="00000000" w:rsidR="00000000" w:rsidRPr="00000000">
        <w:rPr>
          <w:sz w:val="20"/>
          <w:szCs w:val="20"/>
          <w:rtl w:val="0"/>
        </w:rPr>
        <w:t xml:space="preserve">La coordinatrice nationale de l’UICN-Med à Tunis, appuie la mise en oeuvre en Tunisie des projets résultants de ces 5 axes de travail. L’UICN-Med souhaite engager les services d’un(e) consultant(e) assistant(e) pour appuyer le travail de la coordinatrice nationale dans le suivi des projets mis en œuvre en Tunisie. </w:t>
      </w:r>
    </w:p>
    <w:p w:rsidR="00000000" w:rsidDel="00000000" w:rsidP="00000000" w:rsidRDefault="00000000" w:rsidRPr="00000000" w14:paraId="00000021">
      <w:pPr>
        <w:jc w:val="both"/>
        <w:rPr>
          <w:sz w:val="20"/>
          <w:szCs w:val="20"/>
        </w:rPr>
      </w:pPr>
      <w:r w:rsidDel="00000000" w:rsidR="00000000" w:rsidRPr="00000000">
        <w:rPr>
          <w:rtl w:val="0"/>
        </w:rPr>
      </w:r>
    </w:p>
    <w:p w:rsidR="00000000" w:rsidDel="00000000" w:rsidP="00000000" w:rsidRDefault="00000000" w:rsidRPr="00000000" w14:paraId="00000022">
      <w:pPr>
        <w:pStyle w:val="Heading1"/>
        <w:ind w:left="0" w:firstLine="0"/>
        <w:rPr>
          <w:sz w:val="20"/>
          <w:szCs w:val="20"/>
        </w:rPr>
      </w:pPr>
      <w:bookmarkStart w:colFirst="0" w:colLast="0" w:name="_heading=h.30j0zll" w:id="1"/>
      <w:bookmarkEnd w:id="1"/>
      <w:r w:rsidDel="00000000" w:rsidR="00000000" w:rsidRPr="00000000">
        <w:rPr>
          <w:sz w:val="20"/>
          <w:szCs w:val="20"/>
          <w:rtl w:val="0"/>
        </w:rPr>
        <w:t xml:space="preserve">Fonctions et responsabilitéS principaleS de l’assistant</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08"/>
        </w:tabs>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08"/>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Placé sous la responsabilité de l</w:t>
      </w:r>
      <w:r w:rsidDel="00000000" w:rsidR="00000000" w:rsidRPr="00000000">
        <w:rPr>
          <w:sz w:val="20"/>
          <w:szCs w:val="20"/>
          <w:rtl w:val="0"/>
        </w:rPr>
        <w:t xml:space="preserve">’UICN-Med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l’assistant(e) </w:t>
      </w:r>
      <w:r w:rsidDel="00000000" w:rsidR="00000000" w:rsidRPr="00000000">
        <w:rPr>
          <w:sz w:val="20"/>
          <w:szCs w:val="20"/>
          <w:rtl w:val="0"/>
        </w:rPr>
        <w:t xml:space="preserve">travaillera en collaboration avec </w:t>
      </w:r>
      <w:r w:rsidDel="00000000" w:rsidR="00000000" w:rsidRPr="00000000">
        <w:rPr>
          <w:sz w:val="20"/>
          <w:szCs w:val="20"/>
          <w:rtl w:val="0"/>
        </w:rPr>
        <w:t xml:space="preserve">la coordonnatrice nationale à Tunis</w:t>
      </w:r>
      <w:r w:rsidDel="00000000" w:rsidR="00000000" w:rsidRPr="00000000">
        <w:rPr>
          <w:sz w:val="20"/>
          <w:szCs w:val="20"/>
          <w:rtl w:val="0"/>
        </w:rPr>
        <w:t xml:space="preserve"> pour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 suivi de la mise en œuvre du programme de l’UICN-Med </w:t>
      </w:r>
      <w:r w:rsidDel="00000000" w:rsidR="00000000" w:rsidRPr="00000000">
        <w:rPr>
          <w:sz w:val="20"/>
          <w:szCs w:val="20"/>
          <w:rtl w:val="0"/>
        </w:rPr>
        <w:t xml:space="preserve">dans le pays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08"/>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08"/>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Il/elle sera basé(e)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dans la capitale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et sera amené (e) à effectuer de fréquents déplacements dans le pays.</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08"/>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08"/>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Ces tâches principales concerneront notamment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08"/>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tabs>
          <w:tab w:val="left" w:leader="none" w:pos="708"/>
        </w:tabs>
        <w:spacing w:after="0" w:before="0" w:line="240" w:lineRule="auto"/>
        <w:ind w:left="720" w:right="0" w:hanging="360"/>
        <w:jc w:val="both"/>
        <w:rPr>
          <w:sz w:val="20"/>
          <w:szCs w:val="20"/>
          <w:u w:val="none"/>
        </w:rPr>
      </w:pPr>
      <w:r w:rsidDel="00000000" w:rsidR="00000000" w:rsidRPr="00000000">
        <w:rPr>
          <w:sz w:val="20"/>
          <w:szCs w:val="20"/>
          <w:rtl w:val="0"/>
        </w:rPr>
        <w:t xml:space="preserve">Appui aux programmes PPI OSCAN et TransCap (</w:t>
      </w:r>
      <w:hyperlink r:id="rId8">
        <w:r w:rsidDel="00000000" w:rsidR="00000000" w:rsidRPr="00000000">
          <w:rPr>
            <w:color w:val="1155cc"/>
            <w:sz w:val="20"/>
            <w:szCs w:val="20"/>
            <w:u w:val="single"/>
            <w:rtl w:val="0"/>
          </w:rPr>
          <w:t xml:space="preserve">mubadarat-uicn.org</w:t>
        </w:r>
      </w:hyperlink>
      <w:r w:rsidDel="00000000" w:rsidR="00000000" w:rsidRPr="00000000">
        <w:rPr>
          <w:sz w:val="20"/>
          <w:szCs w:val="20"/>
          <w:rtl w:val="0"/>
        </w:rPr>
        <w:t xml:space="preserve">)</w:t>
      </w:r>
      <w:r w:rsidDel="00000000" w:rsidR="00000000" w:rsidRPr="00000000">
        <w:rPr>
          <w:sz w:val="20"/>
          <w:szCs w:val="20"/>
          <w:rtl w:val="0"/>
        </w:rPr>
        <w:t xml:space="preserve">: </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tabs>
          <w:tab w:val="left" w:leader="none" w:pos="708"/>
        </w:tabs>
        <w:spacing w:after="0" w:before="0" w:line="240" w:lineRule="auto"/>
        <w:ind w:left="1440" w:right="0" w:hanging="360"/>
        <w:jc w:val="both"/>
        <w:rPr>
          <w:sz w:val="20"/>
          <w:szCs w:val="20"/>
          <w:u w:val="none"/>
        </w:rPr>
      </w:pPr>
      <w:r w:rsidDel="00000000" w:rsidR="00000000" w:rsidRPr="00000000">
        <w:rPr>
          <w:sz w:val="20"/>
          <w:szCs w:val="20"/>
          <w:rtl w:val="0"/>
        </w:rPr>
        <w:t xml:space="preserve">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ccompagnement des OSC dans les différents phases des programmes (appel à projets, sélection, exécution, reporting, clôture) ;</w:t>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tabs>
          <w:tab w:val="left" w:leader="none" w:pos="708"/>
        </w:tabs>
        <w:spacing w:after="0" w:before="0" w:line="240" w:lineRule="auto"/>
        <w:ind w:left="1440" w:right="0" w:hanging="360"/>
        <w:jc w:val="both"/>
        <w:rPr>
          <w:sz w:val="20"/>
          <w:szCs w:val="20"/>
          <w:u w:val="no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Appui à la communication des activités mises en œuvre par les OSC sur les réseaux sociaux</w:t>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tabs>
          <w:tab w:val="left" w:leader="none" w:pos="708"/>
        </w:tabs>
        <w:spacing w:after="0" w:before="0" w:line="240" w:lineRule="auto"/>
        <w:ind w:left="1440" w:right="0" w:hanging="360"/>
        <w:jc w:val="both"/>
        <w:rPr>
          <w:sz w:val="20"/>
          <w:szCs w:val="20"/>
          <w:u w:val="no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Suivi en back-office et sur le terrain des OSC bénéficiaires des subventions, en s’assurant </w:t>
        <w:tab/>
        <w:t xml:space="preserve">que leur rapports techniques et financiers sont correctement soumis à l’équipe de </w:t>
        <w:tab/>
        <w:t xml:space="preserve">l’UICN-Med;</w:t>
      </w:r>
    </w:p>
    <w:p w:rsidR="00000000" w:rsidDel="00000000" w:rsidP="00000000" w:rsidRDefault="00000000" w:rsidRPr="00000000" w14:paraId="0000002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tabs>
          <w:tab w:val="left" w:leader="none" w:pos="708"/>
        </w:tabs>
        <w:spacing w:after="0" w:before="0" w:line="240" w:lineRule="auto"/>
        <w:ind w:left="720" w:right="0" w:hanging="360"/>
        <w:jc w:val="both"/>
        <w:rPr>
          <w:sz w:val="20"/>
          <w:szCs w:val="20"/>
          <w:u w:val="none"/>
        </w:rPr>
      </w:pPr>
      <w:r w:rsidDel="00000000" w:rsidR="00000000" w:rsidRPr="00000000">
        <w:rPr>
          <w:sz w:val="20"/>
          <w:szCs w:val="20"/>
          <w:rtl w:val="0"/>
        </w:rPr>
        <w:t xml:space="preserve">Appui au projet BRIDGE5_ gouvernance du bassin versant de Medjerda (</w:t>
      </w:r>
      <w:hyperlink r:id="rId9">
        <w:r w:rsidDel="00000000" w:rsidR="00000000" w:rsidRPr="00000000">
          <w:rPr>
            <w:color w:val="1155cc"/>
            <w:sz w:val="20"/>
            <w:szCs w:val="20"/>
            <w:u w:val="single"/>
            <w:rtl w:val="0"/>
          </w:rPr>
          <w:t xml:space="preserve">BRIDGE | IUCN Water (waterandnature.org)</w:t>
        </w:r>
      </w:hyperlink>
      <w:r w:rsidDel="00000000" w:rsidR="00000000" w:rsidRPr="00000000">
        <w:rPr>
          <w:sz w:val="20"/>
          <w:szCs w:val="20"/>
          <w:rtl w:val="0"/>
        </w:rPr>
        <w:t xml:space="preserve">:</w:t>
      </w:r>
    </w:p>
    <w:p w:rsidR="00000000" w:rsidDel="00000000" w:rsidP="00000000" w:rsidRDefault="00000000" w:rsidRPr="00000000" w14:paraId="0000002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ffffff" w:val="clear"/>
        <w:tabs>
          <w:tab w:val="left" w:leader="none" w:pos="708"/>
        </w:tabs>
        <w:spacing w:after="0" w:before="0" w:line="240" w:lineRule="auto"/>
        <w:ind w:left="1440" w:right="0" w:hanging="360"/>
        <w:jc w:val="both"/>
        <w:rPr>
          <w:sz w:val="20"/>
          <w:szCs w:val="20"/>
          <w:u w:val="none"/>
        </w:rPr>
      </w:pPr>
      <w:r w:rsidDel="00000000" w:rsidR="00000000" w:rsidRPr="00000000">
        <w:rPr>
          <w:sz w:val="20"/>
          <w:szCs w:val="20"/>
          <w:rtl w:val="0"/>
        </w:rPr>
        <w:t xml:space="preserve">Appui au Comité national pour la mise en oeuvre du plan d’actions en Tunisie pour 2024 et 2025</w:t>
      </w:r>
    </w:p>
    <w:p w:rsidR="00000000" w:rsidDel="00000000" w:rsidP="00000000" w:rsidRDefault="00000000" w:rsidRPr="00000000" w14:paraId="0000003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ffffff" w:val="clear"/>
        <w:tabs>
          <w:tab w:val="left" w:leader="none" w:pos="708"/>
        </w:tabs>
        <w:spacing w:after="0" w:before="0" w:line="240" w:lineRule="auto"/>
        <w:ind w:left="1440" w:right="0" w:hanging="360"/>
        <w:jc w:val="both"/>
        <w:rPr>
          <w:sz w:val="20"/>
          <w:szCs w:val="20"/>
          <w:u w:val="none"/>
        </w:rPr>
      </w:pPr>
      <w:r w:rsidDel="00000000" w:rsidR="00000000" w:rsidRPr="00000000">
        <w:rPr>
          <w:sz w:val="20"/>
          <w:szCs w:val="20"/>
          <w:rtl w:val="0"/>
        </w:rPr>
        <w:t xml:space="preserve">Appui à l’organisation des réunions et ateliers entre les différentes parties prenantes</w:t>
      </w:r>
    </w:p>
    <w:p w:rsidR="00000000" w:rsidDel="00000000" w:rsidP="00000000" w:rsidRDefault="00000000" w:rsidRPr="00000000" w14:paraId="00000031">
      <w:pPr>
        <w:numPr>
          <w:ilvl w:val="1"/>
          <w:numId w:val="4"/>
        </w:numPr>
        <w:shd w:fill="ffffff" w:val="clear"/>
        <w:tabs>
          <w:tab w:val="left" w:leader="none" w:pos="708"/>
        </w:tabs>
        <w:ind w:left="1440" w:hanging="360"/>
        <w:jc w:val="both"/>
        <w:rPr>
          <w:sz w:val="20"/>
          <w:szCs w:val="20"/>
        </w:rPr>
      </w:pPr>
      <w:r w:rsidDel="00000000" w:rsidR="00000000" w:rsidRPr="00000000">
        <w:rPr>
          <w:sz w:val="20"/>
          <w:szCs w:val="20"/>
          <w:rtl w:val="0"/>
        </w:rPr>
        <w:t xml:space="preserve">Reporting trimestriel de la mise en oeuvre du projet en Tunisie</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08"/>
        </w:tabs>
        <w:spacing w:after="0" w:before="0" w:line="240" w:lineRule="auto"/>
        <w:ind w:left="1440" w:right="0" w:firstLine="0"/>
        <w:jc w:val="both"/>
        <w:rPr>
          <w:sz w:val="20"/>
          <w:szCs w:val="20"/>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tabs>
          <w:tab w:val="left" w:leader="none" w:pos="708"/>
        </w:tabs>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Pour tous les programme de l’UICN-Med: </w:t>
      </w:r>
    </w:p>
    <w:p w:rsidR="00000000" w:rsidDel="00000000" w:rsidP="00000000" w:rsidRDefault="00000000" w:rsidRPr="00000000" w14:paraId="0000003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ffffff" w:val="clear"/>
        <w:tabs>
          <w:tab w:val="left" w:leader="none" w:pos="708"/>
        </w:tabs>
        <w:spacing w:after="0" w:before="0" w:line="240" w:lineRule="auto"/>
        <w:ind w:left="144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ppui à la coordination avec les administrations nationales et locales compétentes, notamment le ministère chargé de l’environnement, la direction générale des forêts et les autres départements sectoriels selon la thématique des projets (tourisme, culture, etc.) ;</w:t>
      </w:r>
    </w:p>
    <w:p w:rsidR="00000000" w:rsidDel="00000000" w:rsidP="00000000" w:rsidRDefault="00000000" w:rsidRPr="00000000" w14:paraId="0000003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ffffff" w:val="clear"/>
        <w:tabs>
          <w:tab w:val="left" w:leader="none" w:pos="708"/>
        </w:tabs>
        <w:spacing w:after="0" w:before="0" w:line="240" w:lineRule="auto"/>
        <w:ind w:left="144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Préparation et organisation logistique de sessions de formation, de réunions d'information et d’ateliers de travail </w:t>
      </w:r>
    </w:p>
    <w:p w:rsidR="00000000" w:rsidDel="00000000" w:rsidP="00000000" w:rsidRDefault="00000000" w:rsidRPr="00000000" w14:paraId="0000003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ffffff" w:val="clear"/>
        <w:tabs>
          <w:tab w:val="left" w:leader="none" w:pos="708"/>
        </w:tabs>
        <w:spacing w:after="0" w:before="0" w:line="240" w:lineRule="auto"/>
        <w:ind w:left="1440" w:right="0" w:hanging="360"/>
        <w:jc w:val="both"/>
        <w:rPr>
          <w:sz w:val="20"/>
          <w:szCs w:val="20"/>
          <w:u w:val="none"/>
        </w:rPr>
      </w:pPr>
      <w:r w:rsidDel="00000000" w:rsidR="00000000" w:rsidRPr="00000000">
        <w:rPr>
          <w:sz w:val="20"/>
          <w:szCs w:val="20"/>
          <w:rtl w:val="0"/>
        </w:rPr>
        <w:t xml:space="preserve">Appui à la collecte d'informations bibliographiques, d'images, de cartes et/ou d'interviews au niveau local pour la préparation de diagnostics dans les projets mis en œuvre par l'UICN Med dans le pays. </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ffffff" w:val="clear"/>
        <w:tabs>
          <w:tab w:val="left" w:leader="none" w:pos="708"/>
        </w:tabs>
        <w:spacing w:after="0" w:before="0" w:line="240" w:lineRule="auto"/>
        <w:ind w:left="1440" w:right="0" w:hanging="360"/>
        <w:jc w:val="both"/>
        <w:rPr>
          <w:sz w:val="20"/>
          <w:szCs w:val="20"/>
          <w:u w:val="none"/>
        </w:rPr>
      </w:pPr>
      <w:r w:rsidDel="00000000" w:rsidR="00000000" w:rsidRPr="00000000">
        <w:rPr>
          <w:sz w:val="20"/>
          <w:szCs w:val="20"/>
          <w:rtl w:val="0"/>
        </w:rPr>
        <w:t xml:space="preserve">Participer aux événements stratégiques clés en représentant l'UICN Méditerranée lorsque cela est demandé</w:t>
      </w:r>
      <w:r w:rsidDel="00000000" w:rsidR="00000000" w:rsidRPr="00000000">
        <w:rPr>
          <w:rFonts w:ascii="Roboto" w:cs="Roboto" w:eastAsia="Roboto" w:hAnsi="Roboto"/>
          <w:color w:val="374151"/>
          <w:sz w:val="24"/>
          <w:szCs w:val="24"/>
          <w:shd w:fill="f7f7f8" w:val="clear"/>
          <w:rtl w:val="0"/>
        </w:rPr>
        <w:t xml:space="preserve">.</w:t>
      </w:r>
      <w:r w:rsidDel="00000000" w:rsidR="00000000" w:rsidRPr="00000000">
        <w:rPr>
          <w:rtl w:val="0"/>
        </w:rPr>
      </w:r>
    </w:p>
    <w:p w:rsidR="00000000" w:rsidDel="00000000" w:rsidP="00000000" w:rsidRDefault="00000000" w:rsidRPr="00000000" w14:paraId="00000038">
      <w:pPr>
        <w:rPr>
          <w:sz w:val="20"/>
          <w:szCs w:val="20"/>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08"/>
        </w:tabs>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08"/>
        </w:tabs>
        <w:spacing w:after="0" w:before="0" w:line="240" w:lineRule="auto"/>
        <w:ind w:left="108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pStyle w:val="Heading1"/>
        <w:rPr>
          <w:sz w:val="20"/>
          <w:szCs w:val="20"/>
        </w:rPr>
      </w:pPr>
      <w:bookmarkStart w:colFirst="0" w:colLast="0" w:name="_heading=h.3znysh7" w:id="3"/>
      <w:bookmarkEnd w:id="3"/>
      <w:r w:rsidDel="00000000" w:rsidR="00000000" w:rsidRPr="00000000">
        <w:rPr>
          <w:sz w:val="20"/>
          <w:szCs w:val="20"/>
          <w:rtl w:val="0"/>
        </w:rPr>
        <w:t xml:space="preserve">Profil du poste</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08"/>
        </w:tabs>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tabs>
          <w:tab w:val="left" w:leader="none" w:pos="708"/>
        </w:tabs>
        <w:spacing w:after="0" w:before="0" w:line="240" w:lineRule="auto"/>
        <w:ind w:left="774" w:right="0" w:hanging="36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Qualification et compétences minimum exigées</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08"/>
        </w:tabs>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ffffff" w:val="clear"/>
        <w:tabs>
          <w:tab w:val="left" w:leader="none" w:pos="708"/>
        </w:tabs>
        <w:spacing w:after="0" w:before="0" w:line="240" w:lineRule="auto"/>
        <w:ind w:left="144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Avoir un diplôme universitaire minimum Bac+4 ans dans des domaines en relation avec l'environnement ou les sciences sociales ; </w:t>
      </w:r>
    </w:p>
    <w:p w:rsidR="00000000" w:rsidDel="00000000" w:rsidP="00000000" w:rsidRDefault="00000000" w:rsidRPr="00000000" w14:paraId="00000040">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ffffff" w:val="clear"/>
        <w:tabs>
          <w:tab w:val="left" w:leader="none" w:pos="708"/>
        </w:tabs>
        <w:spacing w:after="0" w:before="0" w:line="240" w:lineRule="auto"/>
        <w:ind w:left="144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Avoir une expérience professionnelle confirmée de 3 ans minimum dans le suivi et la gestion de projets en relation avec l’environnement, la gestion durable des ressources naturelles et le développement social et communautaire ;</w:t>
      </w:r>
    </w:p>
    <w:p w:rsidR="00000000" w:rsidDel="00000000" w:rsidP="00000000" w:rsidRDefault="00000000" w:rsidRPr="00000000" w14:paraId="00000041">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ffffff" w:val="clear"/>
        <w:tabs>
          <w:tab w:val="left" w:leader="none" w:pos="708"/>
        </w:tabs>
        <w:spacing w:after="0" w:before="0" w:line="240" w:lineRule="auto"/>
        <w:ind w:left="144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Avoir une solide expérience d’au moins 3 ans du paysage institutionnel et du monde associatif actif dans le domaine de l'environnement dans son pays ;</w:t>
      </w:r>
    </w:p>
    <w:p w:rsidR="00000000" w:rsidDel="00000000" w:rsidP="00000000" w:rsidRDefault="00000000" w:rsidRPr="00000000" w14:paraId="00000042">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ffffff" w:val="clear"/>
        <w:tabs>
          <w:tab w:val="left" w:leader="none" w:pos="708"/>
        </w:tabs>
        <w:spacing w:after="0" w:before="0" w:line="240" w:lineRule="auto"/>
        <w:ind w:left="144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Avoir une excellente capacité organisationnelle, relationnelle et de communication avec les institutions gouvernementales et non-gouvernementales dans son pays ;</w:t>
      </w:r>
    </w:p>
    <w:p w:rsidR="00000000" w:rsidDel="00000000" w:rsidP="00000000" w:rsidRDefault="00000000" w:rsidRPr="00000000" w14:paraId="00000043">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ffffff" w:val="clear"/>
        <w:tabs>
          <w:tab w:val="left" w:leader="none" w:pos="708"/>
        </w:tabs>
        <w:spacing w:after="0" w:before="0" w:line="240" w:lineRule="auto"/>
        <w:ind w:left="144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Maîtrise parfaite de l’Arabe et du Français (l’Anglais sera un atout) aussi bien orale qu'écrite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ffffff" w:val="clear"/>
        <w:tabs>
          <w:tab w:val="left" w:leader="none" w:pos="708"/>
        </w:tabs>
        <w:spacing w:after="0" w:before="0" w:line="240" w:lineRule="auto"/>
        <w:ind w:left="144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Être capable de travailler d’une manière indépendante, de faire des déplacements fréquents, de respecter les échéances et de fournir des produits de qualité conformément aux standards internationaux ;</w:t>
      </w:r>
    </w:p>
    <w:p w:rsidR="00000000" w:rsidDel="00000000" w:rsidP="00000000" w:rsidRDefault="00000000" w:rsidRPr="00000000" w14:paraId="00000045">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ffffff" w:val="clear"/>
        <w:tabs>
          <w:tab w:val="left" w:leader="none" w:pos="708"/>
        </w:tabs>
        <w:spacing w:after="0" w:before="0" w:line="240" w:lineRule="auto"/>
        <w:ind w:left="144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Maîtrise des logiciels bureautiques (Word, Excel, PPT, etc.) et de messagerie.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08"/>
        </w:tabs>
        <w:spacing w:after="0" w:before="0" w:line="240" w:lineRule="auto"/>
        <w:ind w:left="1440" w:right="0" w:firstLine="0"/>
        <w:jc w:val="both"/>
        <w:rPr>
          <w:rFonts w:ascii="Arial" w:cs="Arial" w:eastAsia="Arial" w:hAnsi="Arial"/>
          <w:b w:val="0"/>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08"/>
        </w:tabs>
        <w:spacing w:after="0" w:before="0" w:line="240" w:lineRule="auto"/>
        <w:ind w:left="1440" w:right="0" w:firstLine="0"/>
        <w:jc w:val="both"/>
        <w:rPr>
          <w:rFonts w:ascii="Arial" w:cs="Arial" w:eastAsia="Arial" w:hAnsi="Arial"/>
          <w:b w:val="0"/>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14:paraId="00000048">
      <w:pPr>
        <w:pStyle w:val="Heading1"/>
        <w:rPr>
          <w:sz w:val="20"/>
          <w:szCs w:val="20"/>
        </w:rPr>
      </w:pPr>
      <w:r w:rsidDel="00000000" w:rsidR="00000000" w:rsidRPr="00000000">
        <w:rPr>
          <w:sz w:val="20"/>
          <w:szCs w:val="20"/>
          <w:rtl w:val="0"/>
        </w:rPr>
        <w:t xml:space="preserve">Rémuneration</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L’UICN paiera au consultant, en rémunération intégrale pour les prestations fournies, une somme forfaitaire fixe de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3000</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TTC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(trois mille euros) toutes taxes comprises (ci-après « la Rémunération »)</w:t>
      </w:r>
      <w:r w:rsidDel="00000000" w:rsidR="00000000" w:rsidRPr="00000000">
        <w:rPr>
          <w:sz w:val="20"/>
          <w:szCs w:val="20"/>
          <w:rtl w:val="0"/>
        </w:rPr>
        <w:t xml:space="preserve"> répartie en trois tranches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L'UICN en Espagne n'est pas sujet au system d’auto liquidation de la TVA (reverse charge). Pour cette raison la facture doit avoir une attestation expliquant pourquoi la TVA n'est pas comprise dans le total à payer. S’il y a une exemption du la TVA dans le pays, ajoute</w:t>
      </w:r>
      <w:r w:rsidDel="00000000" w:rsidR="00000000" w:rsidRPr="00000000">
        <w:rPr>
          <w:sz w:val="20"/>
          <w:szCs w:val="20"/>
          <w:rtl w:val="0"/>
        </w:rPr>
        <w:t xml:space="preserve">z</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la référence d</w:t>
      </w:r>
      <w:r w:rsidDel="00000000" w:rsidR="00000000" w:rsidRPr="00000000">
        <w:rPr>
          <w:sz w:val="20"/>
          <w:szCs w:val="20"/>
          <w:rtl w:val="0"/>
        </w:rPr>
        <w:t xml:space="preserve">e la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Loi </w:t>
      </w:r>
      <w:r w:rsidDel="00000000" w:rsidR="00000000" w:rsidRPr="00000000">
        <w:rPr>
          <w:sz w:val="20"/>
          <w:szCs w:val="20"/>
          <w:rtl w:val="0"/>
        </w:rPr>
        <w:t xml:space="preserve">sur la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TVA qui expliqu</w:t>
      </w:r>
      <w:r w:rsidDel="00000000" w:rsidR="00000000" w:rsidRPr="00000000">
        <w:rPr>
          <w:sz w:val="20"/>
          <w:szCs w:val="20"/>
          <w:rtl w:val="0"/>
        </w:rPr>
        <w:t xml:space="preserve">ant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cette exemption. Si non, </w:t>
      </w:r>
      <w:r w:rsidDel="00000000" w:rsidR="00000000" w:rsidRPr="00000000">
        <w:rPr>
          <w:sz w:val="20"/>
          <w:szCs w:val="20"/>
          <w:rtl w:val="0"/>
        </w:rPr>
        <w:t xml:space="preserve">ajoutez</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la TVA à la facture ou indiquez dans le total que </w:t>
      </w:r>
      <w:r w:rsidDel="00000000" w:rsidR="00000000" w:rsidRPr="00000000">
        <w:rPr>
          <w:sz w:val="20"/>
          <w:szCs w:val="20"/>
          <w:rtl w:val="0"/>
        </w:rPr>
        <w:t xml:space="preserve">toutes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les taxes sont comprises.</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08"/>
        </w:tabs>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4D">
      <w:pPr>
        <w:pStyle w:val="Heading1"/>
        <w:rPr>
          <w:sz w:val="20"/>
          <w:szCs w:val="20"/>
        </w:rPr>
      </w:pPr>
      <w:bookmarkStart w:colFirst="0" w:colLast="0" w:name="_heading=h.2et92p0" w:id="4"/>
      <w:bookmarkEnd w:id="4"/>
      <w:r w:rsidDel="00000000" w:rsidR="00000000" w:rsidRPr="00000000">
        <w:rPr>
          <w:sz w:val="20"/>
          <w:szCs w:val="20"/>
          <w:rtl w:val="0"/>
        </w:rPr>
        <w:t xml:space="preserve">Soumission des candidatures – Procédure de sélection</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08"/>
        </w:tabs>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Les personnes intéressées sont priées de postuler en envoyant par email à : uicnmed@iucn.org  cc :helene.willem@iucn.org au plus tard le </w:t>
      </w:r>
      <w:r w:rsidDel="00000000" w:rsidR="00000000" w:rsidRPr="00000000">
        <w:rPr>
          <w:b w:val="1"/>
          <w:sz w:val="20"/>
          <w:szCs w:val="20"/>
          <w:rtl w:val="0"/>
        </w:rPr>
        <w:t xml:space="preserve">30</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novembre 2023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avant minuit heure d’Espagne (GMT+2) les documents suivants :</w:t>
      </w:r>
    </w:p>
    <w:p w:rsidR="00000000" w:rsidDel="00000000" w:rsidP="00000000" w:rsidRDefault="00000000" w:rsidRPr="00000000" w14:paraId="00000050">
      <w:pPr>
        <w:numPr>
          <w:ilvl w:val="0"/>
          <w:numId w:val="2"/>
        </w:numPr>
        <w:shd w:fill="ffffff" w:val="clear"/>
        <w:ind w:left="720" w:hanging="360"/>
        <w:rPr>
          <w:rFonts w:ascii="Arial" w:cs="Arial" w:eastAsia="Arial" w:hAnsi="Arial"/>
          <w:sz w:val="20"/>
          <w:szCs w:val="20"/>
        </w:rPr>
      </w:pPr>
      <w:r w:rsidDel="00000000" w:rsidR="00000000" w:rsidRPr="00000000">
        <w:rPr>
          <w:sz w:val="20"/>
          <w:szCs w:val="20"/>
          <w:rtl w:val="0"/>
        </w:rPr>
        <w:t xml:space="preserve">Une lettre de motivation </w:t>
      </w:r>
    </w:p>
    <w:p w:rsidR="00000000" w:rsidDel="00000000" w:rsidP="00000000" w:rsidRDefault="00000000" w:rsidRPr="00000000" w14:paraId="000000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 CV actualisé et signé par l’intéressé</w:t>
      </w:r>
    </w:p>
    <w:p w:rsidR="00000000" w:rsidDel="00000000" w:rsidP="00000000" w:rsidRDefault="00000000" w:rsidRPr="00000000" w14:paraId="0000005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Noms de </w:t>
      </w:r>
      <w:r w:rsidDel="00000000" w:rsidR="00000000" w:rsidRPr="00000000">
        <w:rPr>
          <w:sz w:val="20"/>
          <w:szCs w:val="20"/>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personnes de références au moins avec leurs contacts téléphoniques et emails.</w:t>
      </w:r>
    </w:p>
    <w:p w:rsidR="00000000" w:rsidDel="00000000" w:rsidP="00000000" w:rsidRDefault="00000000" w:rsidRPr="00000000" w14:paraId="00000053">
      <w:pPr>
        <w:rPr>
          <w:sz w:val="20"/>
          <w:szCs w:val="20"/>
        </w:rPr>
      </w:pPr>
      <w:r w:rsidDel="00000000" w:rsidR="00000000" w:rsidRPr="00000000">
        <w:rPr>
          <w:rtl w:val="0"/>
        </w:rPr>
      </w:r>
    </w:p>
    <w:sectPr>
      <w:headerReference r:id="rId10" w:type="default"/>
      <w:pgSz w:h="16838" w:w="11906" w:orient="portrait"/>
      <w:pgMar w:bottom="1440" w:top="2127" w:left="1417.3228346456694"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Arial Gra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-13969</wp:posOffset>
          </wp:positionH>
          <wp:positionV relativeFrom="paragraph">
            <wp:posOffset>-79374</wp:posOffset>
          </wp:positionV>
          <wp:extent cx="831215" cy="777875"/>
          <wp:effectExtent b="0" l="0" r="0" t="0"/>
          <wp:wrapSquare wrapText="bothSides" distB="0" distT="0" distL="114300" distR="114300"/>
          <wp:docPr descr="Résultat de recherche d'images pour &quot;UICN logo&quot;" id="2" name="image1.png"/>
          <a:graphic>
            <a:graphicData uri="http://schemas.openxmlformats.org/drawingml/2006/picture">
              <pic:pic>
                <pic:nvPicPr>
                  <pic:cNvPr descr="Résultat de recherche d'images pour &quot;UICN logo&quot;" id="0" name="image1.png"/>
                  <pic:cNvPicPr preferRelativeResize="0"/>
                </pic:nvPicPr>
                <pic:blipFill>
                  <a:blip r:embed="rId1"/>
                  <a:srcRect b="0" l="0" r="0" t="0"/>
                  <a:stretch>
                    <a:fillRect/>
                  </a:stretch>
                </pic:blipFill>
                <pic:spPr>
                  <a:xfrm>
                    <a:off x="0" y="0"/>
                    <a:ext cx="831215" cy="7778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bullet"/>
      <w:lvlText w:val="●"/>
      <w:lvlJc w:val="left"/>
      <w:pPr>
        <w:ind w:left="774" w:hanging="359.99999999999994"/>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bottom w:color="000000" w:space="1" w:sz="4" w:val="single"/>
      </w:pBdr>
      <w:ind w:left="716" w:hanging="432"/>
    </w:pPr>
    <w:rPr>
      <w:b w:val="1"/>
      <w:smallCaps w:val="1"/>
      <w:sz w:val="30"/>
      <w:szCs w:val="30"/>
    </w:rPr>
  </w:style>
  <w:style w:type="paragraph" w:styleId="Heading2">
    <w:name w:val="heading 2"/>
    <w:basedOn w:val="Normal"/>
    <w:next w:val="Normal"/>
    <w:pPr>
      <w:spacing w:before="360" w:lineRule="auto"/>
      <w:ind w:left="454" w:hanging="454"/>
      <w:jc w:val="both"/>
    </w:pPr>
    <w:rPr>
      <w:rFonts w:ascii="Arial Gras" w:cs="Arial Gras" w:eastAsia="Arial Gras" w:hAnsi="Arial Gras"/>
      <w:b w:val="1"/>
      <w:sz w:val="28"/>
      <w:szCs w:val="28"/>
      <w:u w:val="singl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C02FD"/>
    <w:pPr>
      <w:suppressAutoHyphens w:val="1"/>
      <w:spacing w:after="0"/>
      <w:ind w:left="0" w:firstLine="0"/>
    </w:pPr>
    <w:rPr>
      <w:rFonts w:ascii="Arial" w:cs="Arial" w:eastAsia="MS Mincho" w:hAnsi="Arial"/>
      <w:szCs w:val="20"/>
      <w:lang w:eastAsia="ar-SA" w:val="fr-FR"/>
    </w:rPr>
  </w:style>
  <w:style w:type="paragraph" w:styleId="Ttulo1">
    <w:name w:val="heading 1"/>
    <w:basedOn w:val="Normal"/>
    <w:next w:val="Normal"/>
    <w:link w:val="Ttulo1Car"/>
    <w:qFormat w:val="1"/>
    <w:rsid w:val="003C02FD"/>
    <w:pPr>
      <w:keepNext w:val="1"/>
      <w:pBdr>
        <w:bottom w:color="000000" w:space="1" w:sz="4" w:val="single"/>
      </w:pBdr>
      <w:tabs>
        <w:tab w:val="num" w:pos="716"/>
      </w:tabs>
      <w:ind w:left="716" w:hanging="432"/>
      <w:outlineLvl w:val="0"/>
    </w:pPr>
    <w:rPr>
      <w:b w:val="1"/>
      <w:bCs w:val="1"/>
      <w:caps w:val="1"/>
      <w:sz w:val="30"/>
      <w:szCs w:val="30"/>
    </w:rPr>
  </w:style>
  <w:style w:type="paragraph" w:styleId="Ttulo2">
    <w:name w:val="heading 2"/>
    <w:basedOn w:val="Normal"/>
    <w:next w:val="Normal"/>
    <w:link w:val="Ttulo2Car"/>
    <w:qFormat w:val="1"/>
    <w:rsid w:val="003C02FD"/>
    <w:pPr>
      <w:tabs>
        <w:tab w:val="num" w:pos="454"/>
      </w:tabs>
      <w:spacing w:before="360"/>
      <w:ind w:left="454" w:hanging="454"/>
      <w:jc w:val="both"/>
      <w:outlineLvl w:val="1"/>
    </w:pPr>
    <w:rPr>
      <w:rFonts w:ascii="Arial Gras" w:cs="Arial Gras" w:hAnsi="Arial Gras"/>
      <w:b w:val="1"/>
      <w:bCs w:val="1"/>
      <w:sz w:val="28"/>
      <w:szCs w:val="28"/>
      <w:u w:val="single"/>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1Car" w:customStyle="1">
    <w:name w:val="Título 1 Car"/>
    <w:basedOn w:val="Fuentedeprrafopredeter"/>
    <w:link w:val="Ttulo1"/>
    <w:rsid w:val="003C02FD"/>
    <w:rPr>
      <w:rFonts w:ascii="Arial" w:cs="Arial" w:eastAsia="MS Mincho" w:hAnsi="Arial"/>
      <w:b w:val="1"/>
      <w:bCs w:val="1"/>
      <w:caps w:val="1"/>
      <w:sz w:val="30"/>
      <w:szCs w:val="30"/>
      <w:lang w:eastAsia="ar-SA" w:val="fr-FR"/>
    </w:rPr>
  </w:style>
  <w:style w:type="character" w:styleId="Ttulo2Car" w:customStyle="1">
    <w:name w:val="Título 2 Car"/>
    <w:basedOn w:val="Fuentedeprrafopredeter"/>
    <w:link w:val="Ttulo2"/>
    <w:rsid w:val="003C02FD"/>
    <w:rPr>
      <w:rFonts w:ascii="Arial Gras" w:cs="Arial Gras" w:eastAsia="MS Mincho" w:hAnsi="Arial Gras"/>
      <w:b w:val="1"/>
      <w:bCs w:val="1"/>
      <w:sz w:val="28"/>
      <w:szCs w:val="28"/>
      <w:u w:val="single"/>
      <w:lang w:eastAsia="ar-SA" w:val="fr-FR"/>
    </w:rPr>
  </w:style>
  <w:style w:type="character" w:styleId="Hipervnculo">
    <w:name w:val="Hyperlink"/>
    <w:rsid w:val="003C02FD"/>
    <w:rPr>
      <w:rFonts w:cs="Times New Roman"/>
      <w:vanish w:val="1"/>
      <w:color w:val="0000ff"/>
      <w:u w:val="single"/>
    </w:rPr>
  </w:style>
  <w:style w:type="paragraph" w:styleId="Commentaire2" w:customStyle="1">
    <w:name w:val="Commentaire2"/>
    <w:basedOn w:val="Normal"/>
    <w:rsid w:val="003C02FD"/>
    <w:rPr>
      <w:sz w:val="20"/>
    </w:rPr>
  </w:style>
  <w:style w:type="paragraph" w:styleId="ListParagraph1" w:customStyle="1">
    <w:name w:val="List Paragraph1"/>
    <w:basedOn w:val="Normal"/>
    <w:rsid w:val="003C02FD"/>
    <w:pPr>
      <w:spacing w:after="120"/>
      <w:ind w:left="720"/>
      <w:jc w:val="both"/>
    </w:pPr>
    <w:rPr>
      <w:sz w:val="20"/>
    </w:rPr>
  </w:style>
  <w:style w:type="paragraph" w:styleId="WW-Standard" w:customStyle="1">
    <w:name w:val="WW-Standard"/>
    <w:rsid w:val="003C02FD"/>
    <w:pPr>
      <w:tabs>
        <w:tab w:val="left" w:pos="708"/>
      </w:tabs>
      <w:suppressAutoHyphens w:val="1"/>
      <w:spacing w:after="200" w:line="276" w:lineRule="auto"/>
      <w:ind w:left="0" w:firstLine="0"/>
    </w:pPr>
    <w:rPr>
      <w:rFonts w:ascii="Liberation Sans" w:cs="Mangal" w:eastAsia="SimSun" w:hAnsi="Liberation Sans"/>
      <w:sz w:val="20"/>
      <w:szCs w:val="20"/>
      <w:lang w:bidi="hi-IN" w:eastAsia="hi-IN" w:val="fr-FR"/>
    </w:rPr>
  </w:style>
  <w:style w:type="character" w:styleId="hps" w:customStyle="1">
    <w:name w:val="hps"/>
    <w:basedOn w:val="Fuentedeprrafopredeter"/>
    <w:rsid w:val="00A14FDD"/>
  </w:style>
  <w:style w:type="paragraph" w:styleId="Textodeglobo">
    <w:name w:val="Balloon Text"/>
    <w:basedOn w:val="Normal"/>
    <w:link w:val="TextodegloboCar"/>
    <w:uiPriority w:val="99"/>
    <w:semiHidden w:val="1"/>
    <w:unhideWhenUsed w:val="1"/>
    <w:rsid w:val="008E64DF"/>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8E64DF"/>
    <w:rPr>
      <w:rFonts w:ascii="Segoe UI" w:cs="Segoe UI" w:eastAsia="MS Mincho" w:hAnsi="Segoe UI"/>
      <w:sz w:val="18"/>
      <w:szCs w:val="18"/>
      <w:lang w:eastAsia="ar-SA" w:val="fr-FR"/>
    </w:rPr>
  </w:style>
  <w:style w:type="character" w:styleId="Refdecomentario">
    <w:name w:val="annotation reference"/>
    <w:rsid w:val="008E64DF"/>
    <w:rPr>
      <w:sz w:val="16"/>
      <w:szCs w:val="16"/>
    </w:rPr>
  </w:style>
  <w:style w:type="paragraph" w:styleId="Revisin">
    <w:name w:val="Revision"/>
    <w:hidden w:val="1"/>
    <w:uiPriority w:val="99"/>
    <w:semiHidden w:val="1"/>
    <w:rsid w:val="008E64DF"/>
    <w:pPr>
      <w:spacing w:after="0"/>
      <w:ind w:left="0" w:firstLine="0"/>
    </w:pPr>
    <w:rPr>
      <w:rFonts w:ascii="Arial" w:cs="Arial" w:eastAsia="MS Mincho" w:hAnsi="Arial"/>
      <w:szCs w:val="20"/>
      <w:lang w:eastAsia="ar-SA" w:val="fr-FR"/>
    </w:rPr>
  </w:style>
  <w:style w:type="paragraph" w:styleId="Prrafodelista">
    <w:name w:val="List Paragraph"/>
    <w:basedOn w:val="Normal"/>
    <w:uiPriority w:val="34"/>
    <w:qFormat w:val="1"/>
    <w:rsid w:val="008E64DF"/>
    <w:pPr>
      <w:ind w:left="720"/>
      <w:contextualSpacing w:val="1"/>
    </w:pPr>
  </w:style>
  <w:style w:type="character" w:styleId="tgc" w:customStyle="1">
    <w:name w:val="_tgc"/>
    <w:rsid w:val="00616073"/>
  </w:style>
  <w:style w:type="paragraph" w:styleId="NormalWeb">
    <w:name w:val="Normal (Web)"/>
    <w:basedOn w:val="Normal"/>
    <w:uiPriority w:val="99"/>
    <w:unhideWhenUsed w:val="1"/>
    <w:rsid w:val="00616073"/>
    <w:pPr>
      <w:suppressAutoHyphens w:val="0"/>
      <w:spacing w:after="100" w:afterAutospacing="1" w:before="100" w:beforeAutospacing="1"/>
    </w:pPr>
    <w:rPr>
      <w:rFonts w:ascii="Times New Roman" w:cs="Times New Roman" w:eastAsia="Times New Roman" w:hAnsi="Times New Roman"/>
      <w:sz w:val="24"/>
      <w:szCs w:val="24"/>
      <w:lang w:eastAsia="fr-FR"/>
    </w:rPr>
  </w:style>
  <w:style w:type="paragraph" w:styleId="Encabezado">
    <w:name w:val="header"/>
    <w:basedOn w:val="Normal"/>
    <w:link w:val="EncabezadoCar"/>
    <w:uiPriority w:val="99"/>
    <w:unhideWhenUsed w:val="1"/>
    <w:rsid w:val="008E3A92"/>
    <w:pPr>
      <w:tabs>
        <w:tab w:val="center" w:pos="4252"/>
        <w:tab w:val="right" w:pos="8504"/>
      </w:tabs>
    </w:pPr>
  </w:style>
  <w:style w:type="character" w:styleId="EncabezadoCar" w:customStyle="1">
    <w:name w:val="Encabezado Car"/>
    <w:basedOn w:val="Fuentedeprrafopredeter"/>
    <w:link w:val="Encabezado"/>
    <w:uiPriority w:val="99"/>
    <w:rsid w:val="008E3A92"/>
    <w:rPr>
      <w:rFonts w:ascii="Arial" w:cs="Arial" w:eastAsia="MS Mincho" w:hAnsi="Arial"/>
      <w:szCs w:val="20"/>
      <w:lang w:eastAsia="ar-SA" w:val="fr-FR"/>
    </w:rPr>
  </w:style>
  <w:style w:type="paragraph" w:styleId="Piedepgina">
    <w:name w:val="footer"/>
    <w:basedOn w:val="Normal"/>
    <w:link w:val="PiedepginaCar"/>
    <w:uiPriority w:val="99"/>
    <w:unhideWhenUsed w:val="1"/>
    <w:rsid w:val="008E3A92"/>
    <w:pPr>
      <w:tabs>
        <w:tab w:val="center" w:pos="4252"/>
        <w:tab w:val="right" w:pos="8504"/>
      </w:tabs>
    </w:pPr>
  </w:style>
  <w:style w:type="character" w:styleId="PiedepginaCar" w:customStyle="1">
    <w:name w:val="Pie de página Car"/>
    <w:basedOn w:val="Fuentedeprrafopredeter"/>
    <w:link w:val="Piedepgina"/>
    <w:uiPriority w:val="99"/>
    <w:rsid w:val="008E3A92"/>
    <w:rPr>
      <w:rFonts w:ascii="Arial" w:cs="Arial" w:eastAsia="MS Mincho" w:hAnsi="Arial"/>
      <w:szCs w:val="20"/>
      <w:lang w:eastAsia="ar-SA" w:val="fr-FR"/>
    </w:rPr>
  </w:style>
  <w:style w:type="paragraph" w:styleId="Textocomentario">
    <w:name w:val="annotation text"/>
    <w:basedOn w:val="Normal"/>
    <w:link w:val="TextocomentarioCar"/>
    <w:rsid w:val="00C57C99"/>
    <w:pPr>
      <w:suppressAutoHyphens w:val="0"/>
    </w:pPr>
    <w:rPr>
      <w:rFonts w:ascii="Times New Roman" w:cs="Angsana New" w:eastAsia="Times New Roman" w:hAnsi="Times New Roman"/>
      <w:sz w:val="20"/>
      <w:szCs w:val="23"/>
      <w:lang w:bidi="fr-FR" w:eastAsia="fr-FR"/>
    </w:rPr>
  </w:style>
  <w:style w:type="character" w:styleId="TextocomentarioCar" w:customStyle="1">
    <w:name w:val="Texto comentario Car"/>
    <w:basedOn w:val="Fuentedeprrafopredeter"/>
    <w:link w:val="Textocomentario"/>
    <w:rsid w:val="00C57C99"/>
    <w:rPr>
      <w:rFonts w:ascii="Times New Roman" w:cs="Angsana New" w:eastAsia="Times New Roman" w:hAnsi="Times New Roman"/>
      <w:sz w:val="20"/>
      <w:szCs w:val="23"/>
      <w:lang w:bidi="fr-FR" w:eastAsia="fr-FR" w:val="fr-FR"/>
    </w:rPr>
  </w:style>
  <w:style w:type="paragraph" w:styleId="Asuntodelcomentario">
    <w:name w:val="annotation subject"/>
    <w:basedOn w:val="Textocomentario"/>
    <w:next w:val="Textocomentario"/>
    <w:link w:val="AsuntodelcomentarioCar"/>
    <w:uiPriority w:val="99"/>
    <w:semiHidden w:val="1"/>
    <w:unhideWhenUsed w:val="1"/>
    <w:rsid w:val="0027743D"/>
    <w:pPr>
      <w:suppressAutoHyphens w:val="1"/>
    </w:pPr>
    <w:rPr>
      <w:rFonts w:ascii="Arial" w:cs="Arial" w:eastAsia="MS Mincho" w:hAnsi="Arial"/>
      <w:b w:val="1"/>
      <w:bCs w:val="1"/>
      <w:szCs w:val="20"/>
      <w:lang w:bidi="ar-SA" w:eastAsia="ar-SA"/>
    </w:rPr>
  </w:style>
  <w:style w:type="character" w:styleId="AsuntodelcomentarioCar" w:customStyle="1">
    <w:name w:val="Asunto del comentario Car"/>
    <w:basedOn w:val="TextocomentarioCar"/>
    <w:link w:val="Asuntodelcomentario"/>
    <w:uiPriority w:val="99"/>
    <w:semiHidden w:val="1"/>
    <w:rsid w:val="0027743D"/>
    <w:rPr>
      <w:rFonts w:ascii="Arial" w:cs="Arial" w:eastAsia="MS Mincho" w:hAnsi="Arial"/>
      <w:b w:val="1"/>
      <w:bCs w:val="1"/>
      <w:sz w:val="20"/>
      <w:szCs w:val="20"/>
      <w:lang w:bidi="fr-FR" w:eastAsia="ar-SA" w:val="fr-F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waterandnature.org/initiatives/bridg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iucn.org/our-work/region/mediterranean/our-work" TargetMode="External"/><Relationship Id="rId8" Type="http://schemas.openxmlformats.org/officeDocument/2006/relationships/hyperlink" Target="https://mubadarat-uicn.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NFRgebSi4BeNjaWin4bcb1TV6w==">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2023-10-29T08:32:00Z</dcterms:created>
  <dc:creator>maher.mahjoub</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0x010100CA144FBE7825FA498058B210EBAF46EC</vt:lpwstr>
  </property>
</Properties>
</file>