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F0" w:rsidRDefault="004A0396" w:rsidP="005C223C">
      <w:pPr>
        <w:jc w:val="center"/>
        <w:rPr>
          <w:b/>
          <w:sz w:val="28"/>
          <w:szCs w:val="24"/>
          <w:u w:val="single"/>
        </w:rPr>
      </w:pPr>
      <w:r w:rsidRPr="004A0396">
        <w:rPr>
          <w:b/>
          <w:sz w:val="28"/>
          <w:szCs w:val="24"/>
          <w:u w:val="single"/>
        </w:rPr>
        <w:t>PROGRAMME DE PETITES INITIATIVES POUR LES ORGANISATIONS DE LA SOCIÉTÉ CIVILE EN ARIQUE DU NORD</w:t>
      </w:r>
      <w:r w:rsidR="004428F0">
        <w:rPr>
          <w:b/>
          <w:sz w:val="28"/>
          <w:szCs w:val="24"/>
          <w:u w:val="single"/>
        </w:rPr>
        <w:t>, PHASE 2</w:t>
      </w:r>
    </w:p>
    <w:p w:rsidR="004A0396" w:rsidRPr="004A0396" w:rsidRDefault="004A0396" w:rsidP="005C223C">
      <w:pPr>
        <w:jc w:val="center"/>
        <w:rPr>
          <w:b/>
          <w:sz w:val="28"/>
          <w:szCs w:val="24"/>
          <w:u w:val="single"/>
        </w:rPr>
      </w:pPr>
      <w:r w:rsidRPr="004A0396">
        <w:rPr>
          <w:b/>
          <w:sz w:val="28"/>
          <w:szCs w:val="24"/>
          <w:u w:val="single"/>
        </w:rPr>
        <w:t>PPI-OSCAN</w:t>
      </w:r>
      <w:r w:rsidR="00960561">
        <w:rPr>
          <w:b/>
          <w:sz w:val="28"/>
          <w:szCs w:val="24"/>
          <w:u w:val="single"/>
        </w:rPr>
        <w:t xml:space="preserve"> 2</w:t>
      </w:r>
    </w:p>
    <w:p w:rsidR="004A0396" w:rsidRDefault="004A0396" w:rsidP="005C223C">
      <w:pPr>
        <w:jc w:val="center"/>
        <w:rPr>
          <w:b/>
          <w:sz w:val="28"/>
          <w:szCs w:val="24"/>
          <w:u w:val="single"/>
        </w:rPr>
      </w:pPr>
    </w:p>
    <w:p w:rsidR="004A0396" w:rsidRPr="004A0396" w:rsidRDefault="004A0396" w:rsidP="005C223C">
      <w:pPr>
        <w:jc w:val="center"/>
        <w:rPr>
          <w:b/>
          <w:sz w:val="28"/>
          <w:szCs w:val="24"/>
          <w:u w:val="single"/>
        </w:rPr>
      </w:pPr>
      <w:r w:rsidRPr="004A0396">
        <w:rPr>
          <w:b/>
          <w:sz w:val="28"/>
          <w:szCs w:val="24"/>
          <w:u w:val="single"/>
        </w:rPr>
        <w:t>ALGÉRIE, LIBYE, MAROC ET TUNISIE</w:t>
      </w:r>
    </w:p>
    <w:p w:rsidR="004A0396" w:rsidRPr="008433B4" w:rsidRDefault="004A0396" w:rsidP="005C223C">
      <w:pPr>
        <w:jc w:val="center"/>
        <w:rPr>
          <w:b/>
          <w:sz w:val="12"/>
          <w:szCs w:val="10"/>
          <w:u w:val="single"/>
        </w:rPr>
      </w:pPr>
    </w:p>
    <w:p w:rsidR="004A0396" w:rsidRDefault="004A0396" w:rsidP="005C223C">
      <w:pPr>
        <w:jc w:val="center"/>
        <w:rPr>
          <w:b/>
          <w:u w:val="single"/>
        </w:rPr>
      </w:pPr>
    </w:p>
    <w:p w:rsidR="005C223C" w:rsidRDefault="004A0396" w:rsidP="00A87684">
      <w:pPr>
        <w:jc w:val="center"/>
        <w:rPr>
          <w:b/>
          <w:u w:val="single"/>
        </w:rPr>
      </w:pPr>
      <w:r>
        <w:rPr>
          <w:b/>
          <w:u w:val="single"/>
        </w:rPr>
        <w:t xml:space="preserve">NOTE D’INFORMATION </w:t>
      </w:r>
    </w:p>
    <w:p w:rsidR="00A87684" w:rsidRDefault="00A87684" w:rsidP="00A87684">
      <w:pPr>
        <w:jc w:val="center"/>
        <w:rPr>
          <w:b/>
          <w:u w:val="single"/>
        </w:rPr>
      </w:pPr>
    </w:p>
    <w:p w:rsidR="00A87684" w:rsidRDefault="00A87684" w:rsidP="00A87684">
      <w:pPr>
        <w:jc w:val="center"/>
        <w:rPr>
          <w:b/>
          <w:sz w:val="8"/>
          <w:szCs w:val="6"/>
        </w:rPr>
      </w:pPr>
    </w:p>
    <w:p w:rsidR="00A87684" w:rsidRDefault="00A87684" w:rsidP="00A87684">
      <w:pPr>
        <w:jc w:val="center"/>
        <w:rPr>
          <w:b/>
          <w:sz w:val="8"/>
          <w:szCs w:val="6"/>
        </w:rPr>
      </w:pPr>
    </w:p>
    <w:p w:rsidR="00A87684" w:rsidRPr="008433B4" w:rsidRDefault="00A87684" w:rsidP="00A87684">
      <w:pPr>
        <w:jc w:val="center"/>
        <w:rPr>
          <w:b/>
          <w:sz w:val="8"/>
          <w:szCs w:val="6"/>
        </w:rPr>
      </w:pPr>
    </w:p>
    <w:p w:rsidR="005C223C" w:rsidRPr="00024568" w:rsidRDefault="00024568" w:rsidP="00024568">
      <w:pPr>
        <w:pStyle w:val="T6"/>
        <w:rPr>
          <w:b/>
          <w:bCs/>
        </w:rPr>
      </w:pPr>
      <w:r w:rsidRPr="00024568">
        <w:rPr>
          <w:b/>
          <w:bCs/>
        </w:rPr>
        <w:t>1</w:t>
      </w:r>
      <w:r w:rsidR="0030637D">
        <w:rPr>
          <w:b/>
          <w:bCs/>
        </w:rPr>
        <w:t>.</w:t>
      </w:r>
      <w:r w:rsidRPr="00024568">
        <w:rPr>
          <w:b/>
          <w:bCs/>
        </w:rPr>
        <w:t xml:space="preserve"> GENERALITES </w:t>
      </w:r>
    </w:p>
    <w:p w:rsidR="005C223C" w:rsidRDefault="00960561" w:rsidP="00AE3F81">
      <w:pPr>
        <w:widowControl w:val="0"/>
        <w:tabs>
          <w:tab w:val="left" w:pos="6600"/>
        </w:tabs>
        <w:autoSpaceDE w:val="0"/>
        <w:spacing w:before="2" w:line="130" w:lineRule="exact"/>
        <w:rPr>
          <w:sz w:val="13"/>
          <w:szCs w:val="13"/>
        </w:rPr>
      </w:pPr>
      <w:r>
        <w:rPr>
          <w:sz w:val="13"/>
          <w:szCs w:val="13"/>
        </w:rPr>
        <w:tab/>
      </w:r>
    </w:p>
    <w:tbl>
      <w:tblPr>
        <w:tblW w:w="9808" w:type="dxa"/>
        <w:tblInd w:w="-108" w:type="dxa"/>
        <w:tblLayout w:type="fixed"/>
        <w:tblCellMar>
          <w:left w:w="0" w:type="dxa"/>
          <w:right w:w="0" w:type="dxa"/>
        </w:tblCellMar>
        <w:tblLook w:val="0000" w:firstRow="0" w:lastRow="0" w:firstColumn="0" w:lastColumn="0" w:noHBand="0" w:noVBand="0"/>
      </w:tblPr>
      <w:tblGrid>
        <w:gridCol w:w="3441"/>
        <w:gridCol w:w="6308"/>
        <w:gridCol w:w="59"/>
      </w:tblGrid>
      <w:tr w:rsidR="005C223C" w:rsidTr="00540AAA">
        <w:trPr>
          <w:trHeight w:hRule="exact" w:val="384"/>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line="226" w:lineRule="exact"/>
              <w:ind w:left="54"/>
            </w:pPr>
            <w:r>
              <w:t>Dom</w:t>
            </w:r>
            <w:r>
              <w:rPr>
                <w:spacing w:val="2"/>
              </w:rPr>
              <w:t>a</w:t>
            </w:r>
            <w:r>
              <w:rPr>
                <w:spacing w:val="-1"/>
              </w:rPr>
              <w:t>i</w:t>
            </w:r>
            <w:r>
              <w:rPr>
                <w:spacing w:val="2"/>
              </w:rPr>
              <w:t>n</w:t>
            </w:r>
            <w:r>
              <w:t>e</w:t>
            </w:r>
            <w:r w:rsidR="004A0396">
              <w:t xml:space="preserve"> d’intervention</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Default="005C223C" w:rsidP="00836FEB">
            <w:pPr>
              <w:widowControl w:val="0"/>
              <w:autoSpaceDE w:val="0"/>
              <w:snapToGrid w:val="0"/>
              <w:spacing w:line="226" w:lineRule="exact"/>
              <w:ind w:left="57"/>
            </w:pPr>
            <w:r>
              <w:rPr>
                <w:spacing w:val="-1"/>
              </w:rPr>
              <w:t>Bi</w:t>
            </w:r>
            <w:r>
              <w:rPr>
                <w:spacing w:val="2"/>
              </w:rPr>
              <w:t>o</w:t>
            </w:r>
            <w:r>
              <w:t>d</w:t>
            </w:r>
            <w:r>
              <w:rPr>
                <w:spacing w:val="-1"/>
              </w:rPr>
              <w:t>i</w:t>
            </w:r>
            <w:r>
              <w:rPr>
                <w:spacing w:val="1"/>
              </w:rPr>
              <w:t>v</w:t>
            </w:r>
            <w:r>
              <w:t>e</w:t>
            </w:r>
            <w:r>
              <w:rPr>
                <w:spacing w:val="1"/>
              </w:rPr>
              <w:t>rs</w:t>
            </w:r>
            <w:r>
              <w:rPr>
                <w:spacing w:val="-1"/>
              </w:rPr>
              <w:t>i</w:t>
            </w:r>
            <w:r>
              <w:rPr>
                <w:spacing w:val="2"/>
              </w:rPr>
              <w:t>t</w:t>
            </w:r>
            <w:r>
              <w:t>é</w:t>
            </w:r>
          </w:p>
        </w:tc>
        <w:tc>
          <w:tcPr>
            <w:tcW w:w="59" w:type="dxa"/>
            <w:tcBorders>
              <w:left w:val="single" w:sz="4" w:space="0" w:color="000000"/>
            </w:tcBorders>
            <w:shd w:val="clear" w:color="auto" w:fill="auto"/>
          </w:tcPr>
          <w:p w:rsidR="005C223C" w:rsidRDefault="005C223C" w:rsidP="007928AF">
            <w:pPr>
              <w:snapToGrid w:val="0"/>
            </w:pPr>
          </w:p>
        </w:tc>
      </w:tr>
      <w:tr w:rsidR="005C223C" w:rsidTr="00890EC1">
        <w:trPr>
          <w:trHeight w:hRule="exact" w:val="2035"/>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4A0396" w:rsidP="00836FEB">
            <w:pPr>
              <w:widowControl w:val="0"/>
              <w:autoSpaceDE w:val="0"/>
              <w:snapToGrid w:val="0"/>
              <w:ind w:left="54"/>
            </w:pPr>
            <w:r>
              <w:rPr>
                <w:spacing w:val="-1"/>
              </w:rPr>
              <w:t xml:space="preserve">Responsable du </w:t>
            </w:r>
            <w:r w:rsidR="00A06A96">
              <w:rPr>
                <w:spacing w:val="-1"/>
              </w:rPr>
              <w:t>PPI-OSCAN</w:t>
            </w:r>
            <w:r w:rsidR="00836FEB">
              <w:rPr>
                <w:spacing w:val="-1"/>
              </w:rPr>
              <w:t>2</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Default="004A0396" w:rsidP="00890EC1">
            <w:pPr>
              <w:widowControl w:val="0"/>
              <w:autoSpaceDE w:val="0"/>
              <w:snapToGrid w:val="0"/>
              <w:spacing w:before="1" w:line="237" w:lineRule="auto"/>
              <w:ind w:left="74" w:right="391"/>
              <w:rPr>
                <w:szCs w:val="22"/>
                <w:lang w:val="fr-LU"/>
              </w:rPr>
            </w:pPr>
            <w:r>
              <w:rPr>
                <w:szCs w:val="22"/>
                <w:lang w:val="fr-LU"/>
              </w:rPr>
              <w:t xml:space="preserve">Union Internationale pour la Conservation de la Nature </w:t>
            </w:r>
            <w:r w:rsidR="005C223C">
              <w:rPr>
                <w:szCs w:val="22"/>
                <w:lang w:val="fr-LU"/>
              </w:rPr>
              <w:t>Centre de Coopération pour la Méditerranée  (UICN-Med)</w:t>
            </w:r>
            <w:r w:rsidR="00C95BC9">
              <w:rPr>
                <w:szCs w:val="22"/>
                <w:lang w:val="fr-LU"/>
              </w:rPr>
              <w:t xml:space="preserve"> </w:t>
            </w:r>
          </w:p>
          <w:p w:rsidR="008E414D" w:rsidRDefault="008E414D" w:rsidP="00890EC1">
            <w:pPr>
              <w:widowControl w:val="0"/>
              <w:autoSpaceDE w:val="0"/>
              <w:snapToGrid w:val="0"/>
              <w:spacing w:before="1" w:line="237" w:lineRule="auto"/>
              <w:ind w:left="74" w:right="391"/>
              <w:rPr>
                <w:szCs w:val="22"/>
                <w:lang w:val="fr-LU"/>
              </w:rPr>
            </w:pPr>
            <w:r>
              <w:rPr>
                <w:szCs w:val="22"/>
                <w:lang w:val="fr-LU"/>
              </w:rPr>
              <w:t>Malaga (Espagne)</w:t>
            </w:r>
          </w:p>
          <w:p w:rsidR="008E414D" w:rsidRPr="008E414D" w:rsidRDefault="008E414D" w:rsidP="00890EC1">
            <w:pPr>
              <w:ind w:left="74"/>
              <w:rPr>
                <w:sz w:val="20"/>
                <w:lang w:val="fr-LU"/>
              </w:rPr>
            </w:pPr>
            <w:r w:rsidRPr="008E414D">
              <w:rPr>
                <w:sz w:val="20"/>
                <w:lang w:val="fr-LU"/>
              </w:rPr>
              <w:t xml:space="preserve">Adresse : C/Marie Curie 22, P.T.A. 29590, </w:t>
            </w:r>
            <w:proofErr w:type="spellStart"/>
            <w:r w:rsidRPr="008E414D">
              <w:rPr>
                <w:sz w:val="20"/>
                <w:lang w:val="fr-LU"/>
              </w:rPr>
              <w:t>Campanillas</w:t>
            </w:r>
            <w:proofErr w:type="spellEnd"/>
            <w:r w:rsidRPr="008E414D">
              <w:rPr>
                <w:sz w:val="20"/>
                <w:lang w:val="fr-LU"/>
              </w:rPr>
              <w:t xml:space="preserve">, Malaga, </w:t>
            </w:r>
            <w:r w:rsidR="00015998">
              <w:rPr>
                <w:sz w:val="20"/>
                <w:lang w:val="fr-LU"/>
              </w:rPr>
              <w:t>Espagne</w:t>
            </w:r>
            <w:r w:rsidRPr="008E414D">
              <w:rPr>
                <w:sz w:val="20"/>
                <w:lang w:val="fr-LU"/>
              </w:rPr>
              <w:br/>
              <w:t xml:space="preserve">Tel. +34 952 028 430 </w:t>
            </w:r>
            <w:proofErr w:type="spellStart"/>
            <w:r w:rsidRPr="008E414D">
              <w:rPr>
                <w:sz w:val="20"/>
                <w:lang w:val="fr-LU"/>
              </w:rPr>
              <w:t>ext</w:t>
            </w:r>
            <w:proofErr w:type="spellEnd"/>
            <w:r w:rsidRPr="008E414D">
              <w:rPr>
                <w:sz w:val="20"/>
                <w:lang w:val="fr-LU"/>
              </w:rPr>
              <w:t xml:space="preserve"> 305; Fax +34 952 028 145;</w:t>
            </w:r>
          </w:p>
          <w:p w:rsidR="008E414D" w:rsidRPr="008E414D" w:rsidRDefault="00EE4D73" w:rsidP="00890EC1">
            <w:pPr>
              <w:widowControl w:val="0"/>
              <w:autoSpaceDE w:val="0"/>
              <w:snapToGrid w:val="0"/>
              <w:spacing w:before="1" w:line="237" w:lineRule="auto"/>
              <w:ind w:left="74" w:right="391"/>
              <w:rPr>
                <w:sz w:val="20"/>
                <w:lang w:val="fr-LU"/>
              </w:rPr>
            </w:pPr>
            <w:hyperlink r:id="rId7" w:history="1">
              <w:r w:rsidR="008E414D" w:rsidRPr="008E414D">
                <w:rPr>
                  <w:rStyle w:val="Hyperlink"/>
                  <w:sz w:val="20"/>
                  <w:lang w:val="fr-LU"/>
                </w:rPr>
                <w:t>www.iucn.org/mediterranean</w:t>
              </w:r>
            </w:hyperlink>
          </w:p>
          <w:p w:rsidR="008E414D" w:rsidRDefault="008E414D" w:rsidP="00BB7211">
            <w:pPr>
              <w:widowControl w:val="0"/>
              <w:autoSpaceDE w:val="0"/>
              <w:snapToGrid w:val="0"/>
              <w:spacing w:before="1" w:line="237" w:lineRule="auto"/>
              <w:ind w:right="391"/>
              <w:rPr>
                <w:szCs w:val="22"/>
                <w:lang w:val="fr-LU"/>
              </w:rPr>
            </w:pP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591"/>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4A0396" w:rsidP="007928AF">
            <w:pPr>
              <w:widowControl w:val="0"/>
              <w:autoSpaceDE w:val="0"/>
              <w:snapToGrid w:val="0"/>
              <w:spacing w:line="226" w:lineRule="exact"/>
              <w:ind w:left="54"/>
            </w:pPr>
            <w:r>
              <w:t>Bénéficiaires</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Pr="004A0396" w:rsidRDefault="004A0396" w:rsidP="007928AF">
            <w:pPr>
              <w:widowControl w:val="0"/>
              <w:autoSpaceDE w:val="0"/>
              <w:snapToGrid w:val="0"/>
              <w:spacing w:line="226" w:lineRule="exact"/>
              <w:ind w:left="57"/>
              <w:rPr>
                <w:color w:val="000000"/>
              </w:rPr>
            </w:pPr>
            <w:r w:rsidRPr="004A0396">
              <w:rPr>
                <w:color w:val="000000"/>
              </w:rPr>
              <w:t>Organisations de la Société Civile en Algérie, en Libye, au Maroc</w:t>
            </w:r>
            <w:r w:rsidR="005C223C" w:rsidRPr="00414EB6">
              <w:rPr>
                <w:color w:val="000000"/>
              </w:rPr>
              <w:t xml:space="preserve"> </w:t>
            </w:r>
            <w:r w:rsidRPr="004A0396">
              <w:rPr>
                <w:color w:val="000000"/>
              </w:rPr>
              <w:t>et en Tunisie</w:t>
            </w: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1616"/>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40AAA" w:rsidP="007928AF">
            <w:pPr>
              <w:widowControl w:val="0"/>
              <w:autoSpaceDE w:val="0"/>
              <w:snapToGrid w:val="0"/>
              <w:ind w:left="54"/>
            </w:pPr>
            <w:r>
              <w:t>Participation au financement</w:t>
            </w:r>
          </w:p>
        </w:tc>
        <w:tc>
          <w:tcPr>
            <w:tcW w:w="6308" w:type="dxa"/>
            <w:tcBorders>
              <w:top w:val="single" w:sz="4" w:space="0" w:color="000000"/>
              <w:left w:val="single" w:sz="4" w:space="0" w:color="000000"/>
              <w:bottom w:val="single" w:sz="4" w:space="0" w:color="000000"/>
            </w:tcBorders>
            <w:shd w:val="clear" w:color="auto" w:fill="auto"/>
            <w:vAlign w:val="center"/>
          </w:tcPr>
          <w:p w:rsidR="004A0396" w:rsidRDefault="004A0396" w:rsidP="00BB7211">
            <w:pPr>
              <w:pStyle w:val="ListParagraph"/>
              <w:numPr>
                <w:ilvl w:val="0"/>
                <w:numId w:val="2"/>
              </w:numPr>
              <w:tabs>
                <w:tab w:val="clear" w:pos="-360"/>
              </w:tabs>
              <w:snapToGrid w:val="0"/>
              <w:ind w:hanging="300"/>
              <w:rPr>
                <w:rFonts w:ascii="Arial" w:hAnsi="Arial" w:cs="Arial"/>
                <w:color w:val="000000"/>
              </w:rPr>
            </w:pPr>
            <w:r>
              <w:rPr>
                <w:rFonts w:ascii="Arial" w:hAnsi="Arial" w:cs="Arial"/>
                <w:color w:val="000000"/>
              </w:rPr>
              <w:t>Fonds Français pour l’Environnement Mondial</w:t>
            </w:r>
            <w:r w:rsidR="00540AAA">
              <w:rPr>
                <w:rFonts w:ascii="Arial" w:hAnsi="Arial" w:cs="Arial"/>
                <w:color w:val="000000"/>
              </w:rPr>
              <w:t xml:space="preserve"> (1</w:t>
            </w:r>
            <w:r w:rsidR="00836FEB">
              <w:rPr>
                <w:rFonts w:ascii="Arial" w:hAnsi="Arial" w:cs="Arial"/>
                <w:color w:val="000000"/>
              </w:rPr>
              <w:t>,2</w:t>
            </w:r>
            <w:r w:rsidR="00540AAA">
              <w:rPr>
                <w:rFonts w:ascii="Arial" w:hAnsi="Arial" w:cs="Arial"/>
                <w:color w:val="000000"/>
              </w:rPr>
              <w:t xml:space="preserve"> million d’euros)</w:t>
            </w:r>
          </w:p>
          <w:p w:rsidR="005C223C" w:rsidRDefault="005C223C" w:rsidP="00BB7211">
            <w:pPr>
              <w:pStyle w:val="ListParagraph"/>
              <w:numPr>
                <w:ilvl w:val="0"/>
                <w:numId w:val="2"/>
              </w:numPr>
              <w:tabs>
                <w:tab w:val="clear" w:pos="-360"/>
              </w:tabs>
              <w:snapToGrid w:val="0"/>
              <w:ind w:hanging="300"/>
              <w:rPr>
                <w:rFonts w:ascii="Arial" w:hAnsi="Arial" w:cs="Arial"/>
                <w:color w:val="000000"/>
              </w:rPr>
            </w:pPr>
            <w:r>
              <w:rPr>
                <w:rFonts w:ascii="Arial" w:hAnsi="Arial" w:cs="Arial"/>
                <w:color w:val="000000"/>
              </w:rPr>
              <w:t>Fondation MAVA</w:t>
            </w:r>
            <w:r w:rsidR="00540AAA">
              <w:rPr>
                <w:rFonts w:ascii="Arial" w:hAnsi="Arial" w:cs="Arial"/>
                <w:color w:val="000000"/>
              </w:rPr>
              <w:t xml:space="preserve"> (1</w:t>
            </w:r>
            <w:r w:rsidR="00836FEB">
              <w:rPr>
                <w:rFonts w:ascii="Arial" w:hAnsi="Arial" w:cs="Arial"/>
                <w:color w:val="000000"/>
              </w:rPr>
              <w:t>,2</w:t>
            </w:r>
            <w:r w:rsidR="00540AAA">
              <w:rPr>
                <w:rFonts w:ascii="Arial" w:hAnsi="Arial" w:cs="Arial"/>
                <w:color w:val="000000"/>
              </w:rPr>
              <w:t xml:space="preserve"> million d’euros)</w:t>
            </w:r>
          </w:p>
          <w:p w:rsidR="005C223C" w:rsidRDefault="005C223C" w:rsidP="00AE3F81">
            <w:pPr>
              <w:pStyle w:val="ListParagraph"/>
              <w:numPr>
                <w:ilvl w:val="0"/>
                <w:numId w:val="2"/>
              </w:numPr>
              <w:tabs>
                <w:tab w:val="clear" w:pos="-360"/>
              </w:tabs>
              <w:ind w:hanging="300"/>
              <w:rPr>
                <w:rFonts w:cs="Arial"/>
              </w:rPr>
            </w:pPr>
            <w:r>
              <w:rPr>
                <w:rFonts w:ascii="Arial" w:hAnsi="Arial" w:cs="Arial"/>
                <w:lang w:val="fr-LU"/>
              </w:rPr>
              <w:t>Organisations de la Société Civile (OSC) porteuses des petits projets financés</w:t>
            </w:r>
            <w:r w:rsidRPr="00540AAA">
              <w:rPr>
                <w:rFonts w:ascii="Arial" w:hAnsi="Arial" w:cs="Arial"/>
                <w:lang w:val="fr-LU"/>
              </w:rPr>
              <w:t xml:space="preserve"> </w:t>
            </w:r>
            <w:r w:rsidR="00540AAA" w:rsidRPr="00540AAA">
              <w:rPr>
                <w:rFonts w:ascii="Arial" w:hAnsi="Arial" w:cs="Arial"/>
                <w:lang w:val="fr-LU"/>
              </w:rPr>
              <w:t>(</w:t>
            </w:r>
            <w:r w:rsidR="00836FEB" w:rsidRPr="00540AAA">
              <w:rPr>
                <w:rFonts w:ascii="Arial" w:hAnsi="Arial" w:cs="Arial"/>
                <w:lang w:val="fr-LU"/>
              </w:rPr>
              <w:t>4</w:t>
            </w:r>
            <w:r w:rsidR="00836FEB">
              <w:rPr>
                <w:rFonts w:ascii="Arial" w:hAnsi="Arial" w:cs="Arial"/>
                <w:lang w:val="fr-LU"/>
              </w:rPr>
              <w:t>25</w:t>
            </w:r>
            <w:r w:rsidR="00540AAA" w:rsidRPr="00540AAA">
              <w:rPr>
                <w:rFonts w:ascii="Arial" w:hAnsi="Arial" w:cs="Arial"/>
                <w:lang w:val="fr-LU"/>
              </w:rPr>
              <w:t>.</w:t>
            </w:r>
            <w:r w:rsidR="00836FEB">
              <w:rPr>
                <w:rFonts w:ascii="Arial" w:hAnsi="Arial" w:cs="Arial"/>
                <w:lang w:val="fr-LU"/>
              </w:rPr>
              <w:t>143</w:t>
            </w:r>
            <w:r w:rsidR="00836FEB" w:rsidRPr="00540AAA">
              <w:rPr>
                <w:rFonts w:ascii="Arial" w:hAnsi="Arial" w:cs="Arial"/>
                <w:lang w:val="fr-LU"/>
              </w:rPr>
              <w:t xml:space="preserve"> </w:t>
            </w:r>
            <w:r w:rsidR="00540AAA" w:rsidRPr="00540AAA">
              <w:rPr>
                <w:rFonts w:ascii="Arial" w:hAnsi="Arial" w:cs="Arial"/>
                <w:lang w:val="fr-LU"/>
              </w:rPr>
              <w:t>euros)</w:t>
            </w: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376"/>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C223C" w:rsidP="004A0396">
            <w:pPr>
              <w:widowControl w:val="0"/>
              <w:autoSpaceDE w:val="0"/>
              <w:snapToGrid w:val="0"/>
              <w:spacing w:after="120" w:line="226" w:lineRule="exact"/>
              <w:ind w:left="54"/>
              <w:jc w:val="both"/>
            </w:pPr>
            <w:r>
              <w:t>Montant global du pro</w:t>
            </w:r>
            <w:r w:rsidR="004A0396">
              <w:t>gramme</w:t>
            </w:r>
          </w:p>
        </w:tc>
        <w:tc>
          <w:tcPr>
            <w:tcW w:w="6308" w:type="dxa"/>
            <w:tcBorders>
              <w:top w:val="single" w:sz="4" w:space="0" w:color="000000"/>
              <w:left w:val="single" w:sz="4" w:space="0" w:color="000000"/>
              <w:bottom w:val="single" w:sz="4" w:space="0" w:color="000000"/>
            </w:tcBorders>
            <w:shd w:val="clear" w:color="auto" w:fill="auto"/>
          </w:tcPr>
          <w:p w:rsidR="005C223C" w:rsidRDefault="005C223C" w:rsidP="00836FEB">
            <w:pPr>
              <w:pStyle w:val="Header"/>
              <w:tabs>
                <w:tab w:val="left" w:pos="284"/>
              </w:tabs>
              <w:snapToGrid w:val="0"/>
              <w:spacing w:after="0"/>
              <w:rPr>
                <w:i w:val="0"/>
                <w:iCs w:val="0"/>
                <w:sz w:val="22"/>
                <w:lang w:val="es-ES"/>
              </w:rPr>
            </w:pPr>
            <w:r>
              <w:rPr>
                <w:i w:val="0"/>
                <w:iCs w:val="0"/>
                <w:sz w:val="22"/>
                <w:lang w:val="es-ES"/>
              </w:rPr>
              <w:t xml:space="preserve"> 2 </w:t>
            </w:r>
            <w:r w:rsidR="00836FEB">
              <w:rPr>
                <w:i w:val="0"/>
                <w:iCs w:val="0"/>
                <w:sz w:val="22"/>
                <w:lang w:val="es-ES"/>
              </w:rPr>
              <w:t xml:space="preserve">825 143 </w:t>
            </w:r>
            <w:r>
              <w:rPr>
                <w:i w:val="0"/>
                <w:iCs w:val="0"/>
                <w:sz w:val="22"/>
                <w:lang w:val="es-ES"/>
              </w:rPr>
              <w:t>€</w:t>
            </w: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383"/>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line="226" w:lineRule="exact"/>
              <w:ind w:left="54"/>
            </w:pPr>
            <w:r>
              <w:t>Du</w:t>
            </w:r>
            <w:r>
              <w:rPr>
                <w:spacing w:val="1"/>
              </w:rPr>
              <w:t>r</w:t>
            </w:r>
            <w:r>
              <w:t>ée</w:t>
            </w:r>
            <w:r>
              <w:rPr>
                <w:spacing w:val="-1"/>
              </w:rPr>
              <w:t xml:space="preserve"> </w:t>
            </w:r>
            <w:r>
              <w:t>du p</w:t>
            </w:r>
            <w:r>
              <w:rPr>
                <w:spacing w:val="1"/>
              </w:rPr>
              <w:t>r</w:t>
            </w:r>
            <w:r>
              <w:rPr>
                <w:spacing w:val="2"/>
              </w:rPr>
              <w:t>o</w:t>
            </w:r>
            <w:r>
              <w:rPr>
                <w:spacing w:val="-3"/>
              </w:rPr>
              <w:t>j</w:t>
            </w:r>
            <w:r>
              <w:t>et</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Default="005C223C" w:rsidP="00836FEB">
            <w:pPr>
              <w:widowControl w:val="0"/>
              <w:autoSpaceDE w:val="0"/>
              <w:snapToGrid w:val="0"/>
              <w:spacing w:line="226" w:lineRule="exact"/>
              <w:ind w:left="57"/>
            </w:pPr>
            <w:r>
              <w:t>3</w:t>
            </w:r>
            <w:r>
              <w:rPr>
                <w:spacing w:val="1"/>
              </w:rPr>
              <w:t xml:space="preserve"> </w:t>
            </w:r>
            <w:r>
              <w:t>ans</w:t>
            </w:r>
            <w:r w:rsidR="004A0396">
              <w:t xml:space="preserve"> </w:t>
            </w:r>
          </w:p>
        </w:tc>
        <w:tc>
          <w:tcPr>
            <w:tcW w:w="59" w:type="dxa"/>
            <w:tcBorders>
              <w:left w:val="single" w:sz="4" w:space="0" w:color="000000"/>
            </w:tcBorders>
            <w:shd w:val="clear" w:color="auto" w:fill="auto"/>
          </w:tcPr>
          <w:p w:rsidR="005C223C" w:rsidRDefault="005C223C" w:rsidP="007928AF">
            <w:pPr>
              <w:snapToGrid w:val="0"/>
            </w:pPr>
          </w:p>
        </w:tc>
      </w:tr>
    </w:tbl>
    <w:p w:rsidR="005C223C" w:rsidRDefault="005C223C" w:rsidP="005C223C">
      <w:pPr>
        <w:widowControl w:val="0"/>
        <w:autoSpaceDE w:val="0"/>
        <w:spacing w:before="8" w:line="100" w:lineRule="exact"/>
        <w:rPr>
          <w:rFonts w:ascii="Times New Roman" w:hAnsi="Times New Roman" w:cs="Times New Roman"/>
          <w:sz w:val="10"/>
          <w:szCs w:val="10"/>
        </w:rPr>
      </w:pPr>
    </w:p>
    <w:p w:rsidR="00A87684" w:rsidRDefault="00A87684" w:rsidP="005C223C">
      <w:pPr>
        <w:widowControl w:val="0"/>
        <w:autoSpaceDE w:val="0"/>
        <w:spacing w:before="8" w:line="100" w:lineRule="exact"/>
        <w:rPr>
          <w:rFonts w:ascii="Times New Roman" w:hAnsi="Times New Roman" w:cs="Times New Roman"/>
          <w:sz w:val="10"/>
          <w:szCs w:val="10"/>
        </w:rPr>
      </w:pPr>
    </w:p>
    <w:p w:rsidR="00A87684" w:rsidRDefault="00A87684" w:rsidP="005C223C">
      <w:pPr>
        <w:widowControl w:val="0"/>
        <w:autoSpaceDE w:val="0"/>
        <w:spacing w:before="8" w:line="100" w:lineRule="exact"/>
        <w:rPr>
          <w:rFonts w:ascii="Times New Roman" w:hAnsi="Times New Roman" w:cs="Times New Roman"/>
          <w:sz w:val="10"/>
          <w:szCs w:val="10"/>
        </w:rPr>
      </w:pPr>
    </w:p>
    <w:p w:rsidR="00A87684" w:rsidRDefault="00A87684" w:rsidP="005C223C">
      <w:pPr>
        <w:widowControl w:val="0"/>
        <w:autoSpaceDE w:val="0"/>
        <w:spacing w:before="8" w:line="100" w:lineRule="exact"/>
        <w:rPr>
          <w:rFonts w:ascii="Times New Roman" w:hAnsi="Times New Roman" w:cs="Times New Roman"/>
          <w:sz w:val="10"/>
          <w:szCs w:val="10"/>
        </w:rPr>
      </w:pPr>
    </w:p>
    <w:p w:rsidR="005C223C" w:rsidRPr="00024568" w:rsidRDefault="00024568" w:rsidP="00024568">
      <w:pPr>
        <w:pStyle w:val="T6"/>
        <w:rPr>
          <w:b/>
          <w:bCs/>
        </w:rPr>
      </w:pPr>
      <w:r w:rsidRPr="00024568">
        <w:rPr>
          <w:b/>
          <w:bCs/>
        </w:rPr>
        <w:t>2. CADRE GENERAL DU PROGRAMME</w:t>
      </w:r>
    </w:p>
    <w:p w:rsidR="00836FEB" w:rsidRDefault="00836FEB" w:rsidP="00A87684">
      <w:pPr>
        <w:pStyle w:val="Header"/>
        <w:pBdr>
          <w:bottom w:val="none" w:sz="0" w:space="0" w:color="auto"/>
        </w:pBdr>
        <w:tabs>
          <w:tab w:val="left" w:pos="284"/>
        </w:tabs>
        <w:jc w:val="both"/>
        <w:rPr>
          <w:i w:val="0"/>
          <w:iCs w:val="0"/>
          <w:sz w:val="22"/>
          <w:szCs w:val="22"/>
          <w:lang w:eastAsia="fr-FR"/>
        </w:rPr>
      </w:pPr>
      <w:r w:rsidRPr="00AE3F81">
        <w:rPr>
          <w:i w:val="0"/>
          <w:iCs w:val="0"/>
          <w:sz w:val="22"/>
          <w:szCs w:val="22"/>
          <w:lang w:eastAsia="fr-FR"/>
        </w:rPr>
        <w:t>Dans la continuité d’une première phase du Programme de Petites Initiatives (PPI) pour les Organisations de la Société Civile en Afrique du Nord (OSCAN) qui s’est déroulée de 2014 à 2017, le PPI OSCAN 2 appuie les Organisations de la Société Civile nord-africaines, à la fois en finançant des petits projets concrets de terrain de conservation de la biodiversité et de lutte contre le changement climatique, qui bénéficient aux populations locales et en renforçant les capacités et l’influence de la société civile nord-africaine sur ces questions environnementales.</w:t>
      </w:r>
    </w:p>
    <w:p w:rsidR="00A87684" w:rsidRDefault="00A87684" w:rsidP="00A87684">
      <w:pPr>
        <w:pStyle w:val="Header"/>
        <w:pBdr>
          <w:bottom w:val="none" w:sz="0" w:space="0" w:color="auto"/>
        </w:pBdr>
        <w:tabs>
          <w:tab w:val="left" w:pos="284"/>
        </w:tabs>
        <w:jc w:val="both"/>
        <w:rPr>
          <w:i w:val="0"/>
          <w:iCs w:val="0"/>
          <w:sz w:val="22"/>
          <w:szCs w:val="22"/>
          <w:lang w:eastAsia="fr-FR"/>
        </w:rPr>
      </w:pPr>
    </w:p>
    <w:p w:rsidR="00A87684" w:rsidRDefault="00A87684" w:rsidP="00A87684">
      <w:pPr>
        <w:pStyle w:val="Header"/>
        <w:pBdr>
          <w:bottom w:val="none" w:sz="0" w:space="0" w:color="auto"/>
        </w:pBdr>
        <w:tabs>
          <w:tab w:val="left" w:pos="284"/>
        </w:tabs>
        <w:jc w:val="both"/>
        <w:rPr>
          <w:i w:val="0"/>
          <w:iCs w:val="0"/>
          <w:sz w:val="22"/>
          <w:szCs w:val="22"/>
          <w:lang w:eastAsia="fr-FR"/>
        </w:rPr>
      </w:pPr>
    </w:p>
    <w:p w:rsidR="00A87684" w:rsidRDefault="00A87684" w:rsidP="00A87684">
      <w:pPr>
        <w:pStyle w:val="Header"/>
        <w:pBdr>
          <w:bottom w:val="none" w:sz="0" w:space="0" w:color="auto"/>
        </w:pBdr>
        <w:tabs>
          <w:tab w:val="left" w:pos="284"/>
        </w:tabs>
        <w:jc w:val="both"/>
        <w:rPr>
          <w:i w:val="0"/>
          <w:iCs w:val="0"/>
          <w:sz w:val="22"/>
          <w:szCs w:val="22"/>
          <w:lang w:eastAsia="fr-FR"/>
        </w:rPr>
      </w:pPr>
    </w:p>
    <w:p w:rsidR="005C223C" w:rsidRPr="00024568" w:rsidRDefault="00024568" w:rsidP="00DF1B72">
      <w:pPr>
        <w:pStyle w:val="T6"/>
        <w:rPr>
          <w:b/>
          <w:bCs/>
        </w:rPr>
      </w:pPr>
      <w:r w:rsidRPr="00024568">
        <w:rPr>
          <w:b/>
          <w:bCs/>
        </w:rPr>
        <w:t xml:space="preserve">3. </w:t>
      </w:r>
      <w:r w:rsidR="00DF1B72">
        <w:rPr>
          <w:b/>
          <w:bCs/>
        </w:rPr>
        <w:t>PRESENTATION DU PROGRAMME</w:t>
      </w:r>
    </w:p>
    <w:p w:rsidR="005C223C" w:rsidRDefault="005C223C" w:rsidP="00024568">
      <w:pPr>
        <w:pStyle w:val="T6"/>
        <w:numPr>
          <w:ilvl w:val="0"/>
          <w:numId w:val="7"/>
        </w:numPr>
      </w:pPr>
      <w:r>
        <w:t>Con</w:t>
      </w:r>
      <w:r>
        <w:rPr>
          <w:spacing w:val="2"/>
        </w:rPr>
        <w:t>t</w:t>
      </w:r>
      <w:r>
        <w:t>e</w:t>
      </w:r>
      <w:r>
        <w:rPr>
          <w:spacing w:val="1"/>
        </w:rPr>
        <w:t>x</w:t>
      </w:r>
      <w:r>
        <w:rPr>
          <w:spacing w:val="2"/>
        </w:rPr>
        <w:t>t</w:t>
      </w:r>
      <w:r>
        <w:t>e</w:t>
      </w:r>
      <w:r>
        <w:rPr>
          <w:spacing w:val="-2"/>
        </w:rPr>
        <w:t xml:space="preserve"> </w:t>
      </w:r>
      <w:r>
        <w:t>du p</w:t>
      </w:r>
      <w:r>
        <w:rPr>
          <w:spacing w:val="1"/>
        </w:rPr>
        <w:t>r</w:t>
      </w:r>
      <w:r>
        <w:t>o</w:t>
      </w:r>
      <w:r>
        <w:rPr>
          <w:spacing w:val="-3"/>
        </w:rPr>
        <w:t>j</w:t>
      </w:r>
      <w:r>
        <w:t>et</w:t>
      </w:r>
    </w:p>
    <w:p w:rsidR="00836FEB" w:rsidRPr="00AE3F81" w:rsidRDefault="00836FEB" w:rsidP="00A87684">
      <w:pPr>
        <w:pStyle w:val="Header"/>
        <w:pBdr>
          <w:bottom w:val="none" w:sz="0" w:space="0" w:color="auto"/>
        </w:pBdr>
        <w:jc w:val="both"/>
        <w:rPr>
          <w:rFonts w:cs="Times New Roman"/>
          <w:i w:val="0"/>
          <w:iCs w:val="0"/>
          <w:sz w:val="22"/>
        </w:rPr>
      </w:pPr>
      <w:r w:rsidRPr="00AE3F81">
        <w:rPr>
          <w:rFonts w:cs="Times New Roman"/>
          <w:i w:val="0"/>
          <w:iCs w:val="0"/>
          <w:sz w:val="22"/>
        </w:rPr>
        <w:t>Le premier PPI-OSCAN a ainsi soutenu 37 petits projets portés par des Organisations de la Société Civile (OSC) émergentes, avec un double objectif : 1) contribuer à la protection et à la valorisation de la biodiversité et des ressources naturelles et à l’adaptation aux changements climatiques ; 2) renforcer la société civile en Afrique du Nord, afin qu’elle contribue activement à la mise en œuvre des politiques publiques environnementales. Le soutien aux OSC a associé cofinancement de petits projets (30 000 € maximum</w:t>
      </w:r>
      <w:r w:rsidR="00D4510A">
        <w:rPr>
          <w:rFonts w:cs="Times New Roman"/>
          <w:i w:val="0"/>
          <w:iCs w:val="0"/>
          <w:sz w:val="22"/>
        </w:rPr>
        <w:t xml:space="preserve"> par OSC</w:t>
      </w:r>
      <w:r w:rsidRPr="00AE3F81">
        <w:rPr>
          <w:rFonts w:cs="Times New Roman"/>
          <w:i w:val="0"/>
          <w:iCs w:val="0"/>
          <w:sz w:val="22"/>
        </w:rPr>
        <w:t>), programme de renforcement des capacités et accompagnement rapproché des OSC. L’évaluation du premier PPI-OSCAN a montré que le programme était pertinent, efficace, efficient et cohérent avec les orientations générales de</w:t>
      </w:r>
      <w:r>
        <w:rPr>
          <w:rFonts w:cs="Times New Roman"/>
          <w:i w:val="0"/>
          <w:iCs w:val="0"/>
          <w:sz w:val="22"/>
        </w:rPr>
        <w:t>s pays concernés ainsi qu’avec celles des bailleurs de fonds</w:t>
      </w:r>
      <w:r w:rsidRPr="00AE3F81">
        <w:rPr>
          <w:rFonts w:cs="Times New Roman"/>
          <w:i w:val="0"/>
          <w:iCs w:val="0"/>
          <w:sz w:val="22"/>
        </w:rPr>
        <w:t>. Le programme a permis d’accompagner plusieurs OSC vers un haut niveau de professionnalisation, qui a permis d’obtenir les résultats attendus et de produire des impacts considérables et durables.</w:t>
      </w:r>
    </w:p>
    <w:p w:rsidR="005C223C" w:rsidRDefault="005C223C" w:rsidP="00024568">
      <w:pPr>
        <w:pStyle w:val="T6"/>
        <w:numPr>
          <w:ilvl w:val="0"/>
          <w:numId w:val="7"/>
        </w:numPr>
      </w:pPr>
      <w:r>
        <w:t>Objectif du projet</w:t>
      </w:r>
    </w:p>
    <w:p w:rsidR="00836FEB" w:rsidRDefault="00836FEB" w:rsidP="00A87684">
      <w:pPr>
        <w:pStyle w:val="Header"/>
        <w:pBdr>
          <w:bottom w:val="none" w:sz="0" w:space="0" w:color="auto"/>
        </w:pBdr>
        <w:jc w:val="both"/>
        <w:rPr>
          <w:sz w:val="22"/>
        </w:rPr>
      </w:pPr>
      <w:r w:rsidRPr="00AE3F81">
        <w:rPr>
          <w:rFonts w:cs="Times New Roman"/>
          <w:i w:val="0"/>
          <w:iCs w:val="0"/>
          <w:sz w:val="22"/>
        </w:rPr>
        <w:t>L’objectif global du PPI-OSCAN 2 est de : Poursuivre le renforcement des capacités techniques, administratives et financières des OSC émergentes de quatre pays d’Afrique du Nord (Algérie, Libye, Maroc et Tunisie) dans le domaine de l’environnement, pour qu’elles développent des initiatives concrètes de terrain et qu’elles contribuent, à court, moyen ou long terme, à la mise en œuvre des stratégies et des plans d’actions nationaux de conservation et de valorisation de la biodiversité, de gestion durable des ressources naturelles et d’adaptation aux effets du changement climatique.</w:t>
      </w:r>
    </w:p>
    <w:p w:rsidR="0030637D" w:rsidRPr="00AE3F81" w:rsidRDefault="0030637D" w:rsidP="00AE3F81">
      <w:pPr>
        <w:pStyle w:val="T6"/>
        <w:numPr>
          <w:ilvl w:val="0"/>
          <w:numId w:val="7"/>
        </w:numPr>
      </w:pPr>
      <w:r w:rsidRPr="00AE3F81">
        <w:t xml:space="preserve">Descriptif </w:t>
      </w:r>
    </w:p>
    <w:p w:rsidR="0030637D" w:rsidRPr="00AE3F81" w:rsidRDefault="0030637D" w:rsidP="00A87684">
      <w:pPr>
        <w:pStyle w:val="Header"/>
        <w:pBdr>
          <w:bottom w:val="none" w:sz="0" w:space="0" w:color="auto"/>
        </w:pBdr>
        <w:jc w:val="both"/>
        <w:rPr>
          <w:rFonts w:cs="Times New Roman"/>
          <w:i w:val="0"/>
          <w:iCs w:val="0"/>
          <w:sz w:val="22"/>
        </w:rPr>
      </w:pPr>
      <w:r w:rsidRPr="00AE3F81">
        <w:rPr>
          <w:rFonts w:cs="Times New Roman"/>
          <w:i w:val="0"/>
          <w:iCs w:val="0"/>
          <w:sz w:val="22"/>
        </w:rPr>
        <w:t xml:space="preserve">Les critères d’éligibilités géographiques (Algérie, Libye, Maroc, Tunisie) et thématiques (biodiversité et changement climatique) sont inchangés par rapport à la phase précédente, tout comme la durée des projets (2 ans) et le plafond de subvention pour les OSC émergentes. Il est en outre proposé que certaines OSC bénéficiaires du PPI-OSCAN 1, </w:t>
      </w:r>
      <w:proofErr w:type="gramStart"/>
      <w:r w:rsidRPr="00AE3F81">
        <w:rPr>
          <w:rFonts w:cs="Times New Roman"/>
          <w:i w:val="0"/>
          <w:iCs w:val="0"/>
          <w:sz w:val="22"/>
        </w:rPr>
        <w:t>ayant</w:t>
      </w:r>
      <w:proofErr w:type="gramEnd"/>
      <w:r w:rsidRPr="00AE3F81">
        <w:rPr>
          <w:rFonts w:cs="Times New Roman"/>
          <w:i w:val="0"/>
          <w:iCs w:val="0"/>
          <w:sz w:val="22"/>
        </w:rPr>
        <w:t xml:space="preserve"> conduit leur projet avec succès et ayant la capacité d’accompagner des OSC émergentes, puissent accéder à l’appel à projet. Le programme de formation des OSC sera </w:t>
      </w:r>
      <w:r w:rsidR="00D4510A">
        <w:rPr>
          <w:rFonts w:cs="Times New Roman"/>
          <w:i w:val="0"/>
          <w:iCs w:val="0"/>
          <w:sz w:val="22"/>
        </w:rPr>
        <w:t xml:space="preserve">ainsi </w:t>
      </w:r>
      <w:r w:rsidRPr="00AE3F81">
        <w:rPr>
          <w:rFonts w:cs="Times New Roman"/>
          <w:i w:val="0"/>
          <w:iCs w:val="0"/>
          <w:sz w:val="22"/>
        </w:rPr>
        <w:t xml:space="preserve">renforcé. </w:t>
      </w:r>
    </w:p>
    <w:p w:rsidR="0030637D" w:rsidRPr="00292D37" w:rsidRDefault="0030637D" w:rsidP="00AE3F81">
      <w:pPr>
        <w:suppressAutoHyphens w:val="0"/>
        <w:autoSpaceDE w:val="0"/>
        <w:autoSpaceDN w:val="0"/>
        <w:adjustRightInd w:val="0"/>
        <w:rPr>
          <w:lang w:eastAsia="fr-FR"/>
        </w:rPr>
      </w:pPr>
      <w:r w:rsidRPr="00292D37">
        <w:rPr>
          <w:lang w:eastAsia="fr-FR"/>
        </w:rPr>
        <w:t xml:space="preserve">Le PPI-OSCAN 2 poursuit quatre objectifs spécifiques : </w:t>
      </w:r>
    </w:p>
    <w:p w:rsidR="0030637D" w:rsidRPr="00AE3F81" w:rsidRDefault="0030637D" w:rsidP="00A87684">
      <w:pPr>
        <w:pStyle w:val="Header"/>
        <w:numPr>
          <w:ilvl w:val="0"/>
          <w:numId w:val="14"/>
        </w:numPr>
        <w:pBdr>
          <w:bottom w:val="none" w:sz="0" w:space="0" w:color="auto"/>
        </w:pBdr>
        <w:spacing w:after="0"/>
        <w:jc w:val="both"/>
        <w:rPr>
          <w:rFonts w:cs="Times New Roman"/>
        </w:rPr>
      </w:pPr>
      <w:r w:rsidRPr="00AE3F81">
        <w:rPr>
          <w:rFonts w:cs="Times New Roman"/>
          <w:i w:val="0"/>
          <w:iCs w:val="0"/>
          <w:sz w:val="22"/>
        </w:rPr>
        <w:t xml:space="preserve">Soutenir des projets concrets visant la conservation et la valorisation de la biodiversité, la gestion durable des ressources naturelles et l’adaptation aux changements climatiques ; </w:t>
      </w:r>
    </w:p>
    <w:p w:rsidR="0030637D" w:rsidRPr="00AE3F81" w:rsidRDefault="0030637D" w:rsidP="00A87684">
      <w:pPr>
        <w:pStyle w:val="Header"/>
        <w:numPr>
          <w:ilvl w:val="0"/>
          <w:numId w:val="14"/>
        </w:numPr>
        <w:pBdr>
          <w:bottom w:val="none" w:sz="0" w:space="0" w:color="auto"/>
        </w:pBdr>
        <w:spacing w:after="0"/>
        <w:jc w:val="both"/>
        <w:rPr>
          <w:rFonts w:cs="Times New Roman"/>
        </w:rPr>
      </w:pPr>
      <w:r w:rsidRPr="00AE3F81">
        <w:rPr>
          <w:rFonts w:cs="Times New Roman"/>
          <w:i w:val="0"/>
          <w:iCs w:val="0"/>
          <w:sz w:val="22"/>
        </w:rPr>
        <w:t>Renforcer les capacités techniques, administratives et financières des OSC ;</w:t>
      </w:r>
    </w:p>
    <w:p w:rsidR="0030637D" w:rsidRPr="00AE3F81" w:rsidRDefault="0030637D" w:rsidP="00A87684">
      <w:pPr>
        <w:pStyle w:val="Header"/>
        <w:numPr>
          <w:ilvl w:val="0"/>
          <w:numId w:val="14"/>
        </w:numPr>
        <w:pBdr>
          <w:bottom w:val="none" w:sz="0" w:space="0" w:color="auto"/>
        </w:pBdr>
        <w:spacing w:after="0"/>
        <w:jc w:val="both"/>
        <w:rPr>
          <w:rFonts w:cs="Times New Roman"/>
        </w:rPr>
      </w:pPr>
      <w:r w:rsidRPr="00AE3F81">
        <w:rPr>
          <w:rFonts w:cs="Times New Roman"/>
          <w:i w:val="0"/>
          <w:iCs w:val="0"/>
          <w:sz w:val="22"/>
        </w:rPr>
        <w:t>Favoriser la mise en réseau des OSC et renforcer le dialogue et la coordination avec les gouvernements ;</w:t>
      </w:r>
    </w:p>
    <w:p w:rsidR="0030637D" w:rsidRPr="00AE3F81" w:rsidRDefault="0030637D" w:rsidP="00A87684">
      <w:pPr>
        <w:pStyle w:val="Header"/>
        <w:numPr>
          <w:ilvl w:val="0"/>
          <w:numId w:val="14"/>
        </w:numPr>
        <w:pBdr>
          <w:bottom w:val="none" w:sz="0" w:space="0" w:color="auto"/>
        </w:pBdr>
        <w:spacing w:after="0"/>
        <w:jc w:val="both"/>
        <w:rPr>
          <w:rFonts w:cs="Times New Roman"/>
        </w:rPr>
      </w:pPr>
      <w:r w:rsidRPr="00AE3F81">
        <w:rPr>
          <w:rFonts w:cs="Times New Roman"/>
          <w:i w:val="0"/>
          <w:iCs w:val="0"/>
          <w:sz w:val="22"/>
        </w:rPr>
        <w:t>Capitaliser et diffuser les expériences aux échelles nationale et régionale.</w:t>
      </w:r>
    </w:p>
    <w:p w:rsidR="005C223C" w:rsidRDefault="005C223C" w:rsidP="00024568">
      <w:pPr>
        <w:pStyle w:val="T6"/>
        <w:numPr>
          <w:ilvl w:val="0"/>
          <w:numId w:val="7"/>
        </w:numPr>
      </w:pPr>
      <w:r>
        <w:t>Résultats et impact</w:t>
      </w:r>
      <w:r w:rsidR="00DF1B72">
        <w:t>s</w:t>
      </w:r>
      <w:r>
        <w:t xml:space="preserve"> attendus</w:t>
      </w:r>
    </w:p>
    <w:p w:rsidR="00836FEB" w:rsidRPr="00AE3F81" w:rsidRDefault="00836FEB" w:rsidP="00A87684">
      <w:pPr>
        <w:pStyle w:val="Header"/>
        <w:numPr>
          <w:ilvl w:val="0"/>
          <w:numId w:val="9"/>
        </w:numPr>
        <w:pBdr>
          <w:bottom w:val="none" w:sz="0" w:space="0" w:color="auto"/>
        </w:pBdr>
        <w:spacing w:after="0"/>
        <w:jc w:val="both"/>
        <w:rPr>
          <w:rFonts w:cs="Times New Roman"/>
          <w:sz w:val="22"/>
        </w:rPr>
      </w:pPr>
      <w:r w:rsidRPr="00AE3F81">
        <w:rPr>
          <w:rFonts w:cs="Times New Roman"/>
          <w:i w:val="0"/>
          <w:iCs w:val="0"/>
          <w:sz w:val="22"/>
        </w:rPr>
        <w:t xml:space="preserve">Les projets sont sélectionnés, contractualisés, suivis et gérés de manière efficiente ;  </w:t>
      </w:r>
    </w:p>
    <w:p w:rsidR="00836FEB" w:rsidRPr="00AE3F81" w:rsidRDefault="00836FEB" w:rsidP="00A87684">
      <w:pPr>
        <w:pStyle w:val="Header"/>
        <w:numPr>
          <w:ilvl w:val="0"/>
          <w:numId w:val="9"/>
        </w:numPr>
        <w:pBdr>
          <w:bottom w:val="none" w:sz="0" w:space="0" w:color="auto"/>
        </w:pBdr>
        <w:spacing w:after="0"/>
        <w:jc w:val="both"/>
        <w:rPr>
          <w:rFonts w:cs="Times New Roman"/>
          <w:sz w:val="22"/>
        </w:rPr>
      </w:pPr>
      <w:r w:rsidRPr="00AE3F81">
        <w:rPr>
          <w:rFonts w:cs="Times New Roman"/>
          <w:i w:val="0"/>
          <w:iCs w:val="0"/>
          <w:sz w:val="22"/>
        </w:rPr>
        <w:t xml:space="preserve">Les projets de conservation et de solutions fondées sur la nature portés par la société civile atteignent les résultats escomptés ; </w:t>
      </w:r>
    </w:p>
    <w:p w:rsidR="00836FEB" w:rsidRPr="00AE3F81" w:rsidRDefault="00836FEB" w:rsidP="00A87684">
      <w:pPr>
        <w:pStyle w:val="Header"/>
        <w:numPr>
          <w:ilvl w:val="0"/>
          <w:numId w:val="9"/>
        </w:numPr>
        <w:pBdr>
          <w:bottom w:val="none" w:sz="0" w:space="0" w:color="auto"/>
        </w:pBdr>
        <w:spacing w:after="0"/>
        <w:jc w:val="both"/>
        <w:rPr>
          <w:rFonts w:cs="Times New Roman"/>
          <w:sz w:val="22"/>
        </w:rPr>
      </w:pPr>
      <w:r w:rsidRPr="00AE3F81">
        <w:rPr>
          <w:rFonts w:cs="Times New Roman"/>
          <w:i w:val="0"/>
          <w:iCs w:val="0"/>
          <w:sz w:val="22"/>
        </w:rPr>
        <w:lastRenderedPageBreak/>
        <w:t xml:space="preserve">Le programme PPI-OSCAN 2 est géré de manière efficiente et la collaboration entre les </w:t>
      </w:r>
      <w:r w:rsidR="00D4510A">
        <w:rPr>
          <w:rFonts w:cs="Times New Roman"/>
          <w:i w:val="0"/>
          <w:iCs w:val="0"/>
          <w:sz w:val="22"/>
        </w:rPr>
        <w:t xml:space="preserve">partenaires concernés </w:t>
      </w:r>
      <w:r w:rsidRPr="00AE3F81">
        <w:rPr>
          <w:rFonts w:cs="Times New Roman"/>
          <w:i w:val="0"/>
          <w:iCs w:val="0"/>
          <w:sz w:val="22"/>
        </w:rPr>
        <w:t>est assurée</w:t>
      </w:r>
      <w:r>
        <w:rPr>
          <w:rFonts w:cs="Times New Roman"/>
          <w:i w:val="0"/>
          <w:iCs w:val="0"/>
          <w:sz w:val="22"/>
        </w:rPr>
        <w:t> ;</w:t>
      </w:r>
      <w:r w:rsidRPr="00AE3F81">
        <w:rPr>
          <w:rFonts w:cs="Times New Roman"/>
          <w:i w:val="0"/>
          <w:iCs w:val="0"/>
          <w:sz w:val="22"/>
        </w:rPr>
        <w:t xml:space="preserve"> </w:t>
      </w:r>
    </w:p>
    <w:p w:rsidR="00836FEB" w:rsidRPr="00AE3F81" w:rsidRDefault="00836FEB" w:rsidP="00A87684">
      <w:pPr>
        <w:pStyle w:val="Header"/>
        <w:numPr>
          <w:ilvl w:val="0"/>
          <w:numId w:val="9"/>
        </w:numPr>
        <w:pBdr>
          <w:bottom w:val="none" w:sz="0" w:space="0" w:color="auto"/>
        </w:pBdr>
        <w:spacing w:after="0"/>
        <w:jc w:val="both"/>
        <w:rPr>
          <w:rFonts w:cs="Times New Roman"/>
          <w:sz w:val="22"/>
        </w:rPr>
      </w:pPr>
      <w:r w:rsidRPr="00AE3F81">
        <w:rPr>
          <w:rFonts w:cs="Times New Roman"/>
          <w:i w:val="0"/>
          <w:iCs w:val="0"/>
          <w:sz w:val="22"/>
        </w:rPr>
        <w:t xml:space="preserve">Les capacités des OSC bénéficiaires des petites subventions sont renforcées en amont et durant la mise en œuvre des projets ; </w:t>
      </w:r>
    </w:p>
    <w:p w:rsidR="00836FEB" w:rsidRPr="00AE3F81" w:rsidRDefault="00836FEB" w:rsidP="00A87684">
      <w:pPr>
        <w:pStyle w:val="Header"/>
        <w:numPr>
          <w:ilvl w:val="0"/>
          <w:numId w:val="9"/>
        </w:numPr>
        <w:pBdr>
          <w:bottom w:val="none" w:sz="0" w:space="0" w:color="auto"/>
        </w:pBdr>
        <w:spacing w:after="0"/>
        <w:jc w:val="both"/>
        <w:rPr>
          <w:rFonts w:cs="Times New Roman"/>
          <w:sz w:val="22"/>
        </w:rPr>
      </w:pPr>
      <w:r w:rsidRPr="00AE3F81">
        <w:rPr>
          <w:rFonts w:cs="Times New Roman"/>
          <w:i w:val="0"/>
          <w:iCs w:val="0"/>
          <w:sz w:val="22"/>
        </w:rPr>
        <w:t xml:space="preserve">Les OSC bénéficiaires des moyennes subventions bénéficient d’un accompagnement </w:t>
      </w:r>
      <w:r w:rsidR="00D4510A">
        <w:rPr>
          <w:rFonts w:cs="Times New Roman"/>
          <w:i w:val="0"/>
          <w:iCs w:val="0"/>
          <w:sz w:val="22"/>
        </w:rPr>
        <w:t>pour</w:t>
      </w:r>
      <w:r w:rsidR="00D4510A" w:rsidRPr="00AE3F81">
        <w:rPr>
          <w:rFonts w:cs="Times New Roman"/>
          <w:i w:val="0"/>
          <w:iCs w:val="0"/>
          <w:sz w:val="22"/>
        </w:rPr>
        <w:t xml:space="preserve"> </w:t>
      </w:r>
      <w:r w:rsidRPr="00AE3F81">
        <w:rPr>
          <w:rFonts w:cs="Times New Roman"/>
          <w:i w:val="0"/>
          <w:iCs w:val="0"/>
          <w:sz w:val="22"/>
        </w:rPr>
        <w:t>leur montée en puissance ; et les capacités d’influence et de capitalisation des OSC sont renforcées</w:t>
      </w:r>
      <w:r>
        <w:rPr>
          <w:rFonts w:cs="Times New Roman"/>
          <w:i w:val="0"/>
          <w:iCs w:val="0"/>
          <w:sz w:val="22"/>
        </w:rPr>
        <w:t> ;</w:t>
      </w:r>
      <w:r w:rsidRPr="00AE3F81">
        <w:rPr>
          <w:rFonts w:cs="Times New Roman"/>
          <w:i w:val="0"/>
          <w:iCs w:val="0"/>
          <w:sz w:val="22"/>
        </w:rPr>
        <w:t xml:space="preserve"> </w:t>
      </w:r>
    </w:p>
    <w:p w:rsidR="00836FEB" w:rsidRPr="00AE3F81" w:rsidRDefault="00836FEB" w:rsidP="00A87684">
      <w:pPr>
        <w:pStyle w:val="Header"/>
        <w:numPr>
          <w:ilvl w:val="0"/>
          <w:numId w:val="9"/>
        </w:numPr>
        <w:pBdr>
          <w:bottom w:val="none" w:sz="0" w:space="0" w:color="auto"/>
        </w:pBdr>
        <w:spacing w:after="0"/>
        <w:jc w:val="both"/>
        <w:rPr>
          <w:rFonts w:cs="Times New Roman"/>
          <w:sz w:val="22"/>
        </w:rPr>
      </w:pPr>
      <w:r w:rsidRPr="00AE3F81">
        <w:rPr>
          <w:rFonts w:cs="Times New Roman"/>
          <w:i w:val="0"/>
          <w:iCs w:val="0"/>
          <w:sz w:val="22"/>
        </w:rPr>
        <w:t xml:space="preserve">Les résultats du PPI-OSCAN 2 sont capitalisés, diffusés et communiqués parmi la société civile et les </w:t>
      </w:r>
      <w:r w:rsidR="00D4510A">
        <w:rPr>
          <w:rFonts w:cs="Times New Roman"/>
          <w:i w:val="0"/>
          <w:iCs w:val="0"/>
          <w:sz w:val="22"/>
        </w:rPr>
        <w:t>partenaires techniques et financiers du programme</w:t>
      </w:r>
      <w:r>
        <w:rPr>
          <w:rFonts w:cs="Times New Roman"/>
          <w:i w:val="0"/>
          <w:iCs w:val="0"/>
          <w:sz w:val="22"/>
        </w:rPr>
        <w:t>.</w:t>
      </w:r>
      <w:r w:rsidRPr="00AE3F81">
        <w:rPr>
          <w:rFonts w:cs="Times New Roman"/>
          <w:i w:val="0"/>
          <w:iCs w:val="0"/>
          <w:sz w:val="22"/>
        </w:rPr>
        <w:t xml:space="preserve"> </w:t>
      </w:r>
    </w:p>
    <w:p w:rsidR="005C223C" w:rsidRDefault="00836FEB" w:rsidP="00836FEB">
      <w:pPr>
        <w:pStyle w:val="T6"/>
        <w:numPr>
          <w:ilvl w:val="0"/>
          <w:numId w:val="7"/>
        </w:numPr>
      </w:pPr>
      <w:r>
        <w:rPr>
          <w:rFonts w:eastAsia="Times New Roman"/>
        </w:rPr>
        <w:t xml:space="preserve">Budget du </w:t>
      </w:r>
      <w:r w:rsidR="00024568">
        <w:t>PPI-OSCAN</w:t>
      </w:r>
    </w:p>
    <w:tbl>
      <w:tblPr>
        <w:tblW w:w="9864" w:type="dxa"/>
        <w:tblInd w:w="-5" w:type="dxa"/>
        <w:tblLayout w:type="fixed"/>
        <w:tblLook w:val="0000" w:firstRow="0" w:lastRow="0" w:firstColumn="0" w:lastColumn="0" w:noHBand="0" w:noVBand="0"/>
      </w:tblPr>
      <w:tblGrid>
        <w:gridCol w:w="3375"/>
        <w:gridCol w:w="3112"/>
        <w:gridCol w:w="3377"/>
      </w:tblGrid>
      <w:tr w:rsidR="005C223C" w:rsidTr="007928AF">
        <w:tc>
          <w:tcPr>
            <w:tcW w:w="3375" w:type="dxa"/>
            <w:tcBorders>
              <w:top w:val="single" w:sz="4" w:space="0" w:color="000000"/>
              <w:left w:val="single" w:sz="4" w:space="0" w:color="000000"/>
              <w:bottom w:val="single" w:sz="4" w:space="0" w:color="000000"/>
            </w:tcBorders>
            <w:shd w:val="clear" w:color="auto" w:fill="E5E5E5"/>
          </w:tcPr>
          <w:p w:rsidR="005C223C" w:rsidRDefault="00836FEB" w:rsidP="00AE3F81">
            <w:pPr>
              <w:widowControl w:val="0"/>
              <w:autoSpaceDE w:val="0"/>
              <w:snapToGrid w:val="0"/>
              <w:spacing w:before="40" w:after="120" w:line="219" w:lineRule="exact"/>
              <w:ind w:left="-137" w:right="-107"/>
              <w:jc w:val="center"/>
              <w:rPr>
                <w:b/>
                <w:bCs/>
                <w:spacing w:val="-2"/>
                <w:w w:val="99"/>
                <w:sz w:val="20"/>
              </w:rPr>
            </w:pPr>
            <w:r>
              <w:rPr>
                <w:b/>
                <w:bCs/>
                <w:w w:val="99"/>
                <w:sz w:val="20"/>
              </w:rPr>
              <w:t>Bailleurs de fonds</w:t>
            </w:r>
          </w:p>
        </w:tc>
        <w:tc>
          <w:tcPr>
            <w:tcW w:w="3112" w:type="dxa"/>
            <w:tcBorders>
              <w:top w:val="single" w:sz="4" w:space="0" w:color="000000"/>
              <w:left w:val="single" w:sz="4" w:space="0" w:color="000000"/>
              <w:bottom w:val="single" w:sz="4" w:space="0" w:color="000000"/>
            </w:tcBorders>
            <w:shd w:val="clear" w:color="auto" w:fill="E5E5E5"/>
          </w:tcPr>
          <w:p w:rsidR="005C223C" w:rsidRDefault="005C223C" w:rsidP="007928AF">
            <w:pPr>
              <w:widowControl w:val="0"/>
              <w:autoSpaceDE w:val="0"/>
              <w:snapToGrid w:val="0"/>
              <w:spacing w:before="40" w:after="120" w:line="219" w:lineRule="exact"/>
              <w:ind w:left="1045"/>
              <w:jc w:val="both"/>
              <w:rPr>
                <w:b/>
                <w:bCs/>
                <w:sz w:val="20"/>
              </w:rPr>
            </w:pPr>
            <w:r>
              <w:rPr>
                <w:b/>
                <w:bCs/>
                <w:sz w:val="20"/>
              </w:rPr>
              <w:t>M</w:t>
            </w:r>
            <w:r>
              <w:rPr>
                <w:b/>
                <w:bCs/>
                <w:spacing w:val="1"/>
                <w:sz w:val="20"/>
              </w:rPr>
              <w:t>o</w:t>
            </w:r>
            <w:r>
              <w:rPr>
                <w:b/>
                <w:bCs/>
                <w:spacing w:val="-2"/>
                <w:sz w:val="20"/>
              </w:rPr>
              <w:t>n</w:t>
            </w:r>
            <w:r>
              <w:rPr>
                <w:b/>
                <w:bCs/>
                <w:spacing w:val="1"/>
                <w:sz w:val="20"/>
              </w:rPr>
              <w:t>t</w:t>
            </w:r>
            <w:r>
              <w:rPr>
                <w:b/>
                <w:bCs/>
                <w:spacing w:val="2"/>
                <w:sz w:val="20"/>
              </w:rPr>
              <w:t>a</w:t>
            </w:r>
            <w:r>
              <w:rPr>
                <w:b/>
                <w:bCs/>
                <w:spacing w:val="-2"/>
                <w:sz w:val="20"/>
              </w:rPr>
              <w:t>n</w:t>
            </w:r>
            <w:r>
              <w:rPr>
                <w:b/>
                <w:bCs/>
                <w:sz w:val="20"/>
              </w:rPr>
              <w:t>t</w:t>
            </w:r>
            <w:r>
              <w:rPr>
                <w:b/>
                <w:bCs/>
                <w:spacing w:val="1"/>
                <w:sz w:val="20"/>
              </w:rPr>
              <w:t xml:space="preserve"> (</w:t>
            </w:r>
            <w:r>
              <w:rPr>
                <w:b/>
                <w:bCs/>
                <w:sz w:val="20"/>
              </w:rPr>
              <w:t>€)</w:t>
            </w:r>
          </w:p>
        </w:tc>
        <w:tc>
          <w:tcPr>
            <w:tcW w:w="3377" w:type="dxa"/>
            <w:tcBorders>
              <w:top w:val="single" w:sz="4" w:space="0" w:color="000000"/>
              <w:left w:val="single" w:sz="4" w:space="0" w:color="000000"/>
              <w:bottom w:val="single" w:sz="4" w:space="0" w:color="000000"/>
              <w:right w:val="single" w:sz="4" w:space="0" w:color="000000"/>
            </w:tcBorders>
            <w:shd w:val="clear" w:color="auto" w:fill="E5E5E5"/>
          </w:tcPr>
          <w:p w:rsidR="005C223C" w:rsidRDefault="005C223C" w:rsidP="007928AF">
            <w:pPr>
              <w:widowControl w:val="0"/>
              <w:autoSpaceDE w:val="0"/>
              <w:snapToGrid w:val="0"/>
              <w:spacing w:before="40" w:after="120" w:line="219" w:lineRule="exact"/>
              <w:ind w:left="983"/>
              <w:jc w:val="both"/>
              <w:rPr>
                <w:b/>
                <w:bCs/>
                <w:sz w:val="20"/>
              </w:rPr>
            </w:pPr>
            <w:r>
              <w:rPr>
                <w:b/>
                <w:bCs/>
                <w:spacing w:val="-1"/>
                <w:sz w:val="20"/>
              </w:rPr>
              <w:t>P</w:t>
            </w:r>
            <w:r>
              <w:rPr>
                <w:b/>
                <w:bCs/>
                <w:spacing w:val="1"/>
                <w:sz w:val="20"/>
              </w:rPr>
              <w:t>o</w:t>
            </w:r>
            <w:r>
              <w:rPr>
                <w:b/>
                <w:bCs/>
                <w:spacing w:val="-2"/>
                <w:sz w:val="20"/>
              </w:rPr>
              <w:t>u</w:t>
            </w:r>
            <w:r>
              <w:rPr>
                <w:b/>
                <w:bCs/>
                <w:spacing w:val="2"/>
                <w:sz w:val="20"/>
              </w:rPr>
              <w:t>rc</w:t>
            </w:r>
            <w:r>
              <w:rPr>
                <w:b/>
                <w:bCs/>
                <w:sz w:val="20"/>
              </w:rPr>
              <w:t>e</w:t>
            </w:r>
            <w:r>
              <w:rPr>
                <w:b/>
                <w:bCs/>
                <w:spacing w:val="-2"/>
                <w:sz w:val="20"/>
              </w:rPr>
              <w:t>n</w:t>
            </w:r>
            <w:r>
              <w:rPr>
                <w:b/>
                <w:bCs/>
                <w:spacing w:val="3"/>
                <w:sz w:val="20"/>
              </w:rPr>
              <w:t>t</w:t>
            </w:r>
            <w:r>
              <w:rPr>
                <w:b/>
                <w:bCs/>
                <w:sz w:val="20"/>
              </w:rPr>
              <w:t>a</w:t>
            </w:r>
            <w:r>
              <w:rPr>
                <w:b/>
                <w:bCs/>
                <w:spacing w:val="1"/>
                <w:sz w:val="20"/>
              </w:rPr>
              <w:t>g</w:t>
            </w:r>
            <w:r>
              <w:rPr>
                <w:b/>
                <w:bCs/>
                <w:sz w:val="20"/>
              </w:rPr>
              <w:t>e</w:t>
            </w:r>
          </w:p>
        </w:tc>
      </w:tr>
      <w:tr w:rsidR="005C223C" w:rsidTr="007928AF">
        <w:tc>
          <w:tcPr>
            <w:tcW w:w="3375"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before="40" w:after="120" w:line="219" w:lineRule="exact"/>
              <w:ind w:left="102"/>
              <w:rPr>
                <w:bCs/>
                <w:sz w:val="20"/>
              </w:rPr>
            </w:pPr>
            <w:r>
              <w:rPr>
                <w:bCs/>
                <w:spacing w:val="1"/>
                <w:sz w:val="20"/>
              </w:rPr>
              <w:t>F</w:t>
            </w:r>
            <w:r>
              <w:rPr>
                <w:bCs/>
                <w:spacing w:val="-2"/>
                <w:sz w:val="20"/>
              </w:rPr>
              <w:t>F</w:t>
            </w:r>
            <w:r>
              <w:rPr>
                <w:bCs/>
                <w:spacing w:val="2"/>
                <w:sz w:val="20"/>
              </w:rPr>
              <w:t>E</w:t>
            </w:r>
            <w:r>
              <w:rPr>
                <w:bCs/>
                <w:sz w:val="20"/>
              </w:rPr>
              <w:t>M</w:t>
            </w:r>
          </w:p>
        </w:tc>
        <w:tc>
          <w:tcPr>
            <w:tcW w:w="3112" w:type="dxa"/>
            <w:tcBorders>
              <w:top w:val="single" w:sz="4" w:space="0" w:color="000000"/>
              <w:left w:val="single" w:sz="4" w:space="0" w:color="000000"/>
              <w:bottom w:val="single" w:sz="4" w:space="0" w:color="000000"/>
            </w:tcBorders>
            <w:shd w:val="clear" w:color="auto" w:fill="auto"/>
            <w:vAlign w:val="center"/>
          </w:tcPr>
          <w:p w:rsidR="005C223C" w:rsidRDefault="00836FEB" w:rsidP="00836FEB">
            <w:pPr>
              <w:widowControl w:val="0"/>
              <w:autoSpaceDE w:val="0"/>
              <w:snapToGrid w:val="0"/>
              <w:spacing w:before="40" w:after="120" w:line="226" w:lineRule="exact"/>
              <w:ind w:right="29"/>
              <w:jc w:val="center"/>
              <w:rPr>
                <w:sz w:val="20"/>
              </w:rPr>
            </w:pPr>
            <w:r>
              <w:rPr>
                <w:sz w:val="20"/>
              </w:rPr>
              <w:t>1 200 000</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23C" w:rsidRDefault="005C223C" w:rsidP="00AE3F81">
            <w:pPr>
              <w:widowControl w:val="0"/>
              <w:autoSpaceDE w:val="0"/>
              <w:snapToGrid w:val="0"/>
              <w:spacing w:before="40" w:after="120" w:line="226" w:lineRule="exact"/>
              <w:ind w:left="-103" w:right="-138"/>
              <w:jc w:val="center"/>
              <w:rPr>
                <w:sz w:val="20"/>
              </w:rPr>
            </w:pPr>
            <w:r>
              <w:rPr>
                <w:sz w:val="20"/>
              </w:rPr>
              <w:t>42</w:t>
            </w:r>
            <w:r w:rsidR="00836FEB">
              <w:rPr>
                <w:sz w:val="20"/>
              </w:rPr>
              <w:t>,5</w:t>
            </w:r>
            <w:r>
              <w:rPr>
                <w:sz w:val="20"/>
              </w:rPr>
              <w:t>%</w:t>
            </w:r>
          </w:p>
        </w:tc>
      </w:tr>
      <w:tr w:rsidR="005C223C" w:rsidTr="007928AF">
        <w:tc>
          <w:tcPr>
            <w:tcW w:w="3375"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before="40" w:line="219" w:lineRule="exact"/>
              <w:ind w:left="102"/>
              <w:rPr>
                <w:bCs/>
                <w:sz w:val="20"/>
              </w:rPr>
            </w:pPr>
            <w:r>
              <w:rPr>
                <w:bCs/>
                <w:sz w:val="20"/>
              </w:rPr>
              <w:t>Fondation MAVA</w:t>
            </w:r>
          </w:p>
        </w:tc>
        <w:tc>
          <w:tcPr>
            <w:tcW w:w="3112" w:type="dxa"/>
            <w:tcBorders>
              <w:top w:val="single" w:sz="4" w:space="0" w:color="000000"/>
              <w:left w:val="single" w:sz="4" w:space="0" w:color="000000"/>
              <w:bottom w:val="single" w:sz="4" w:space="0" w:color="000000"/>
            </w:tcBorders>
            <w:shd w:val="clear" w:color="auto" w:fill="auto"/>
            <w:vAlign w:val="center"/>
          </w:tcPr>
          <w:p w:rsidR="005C223C" w:rsidRDefault="00836FEB" w:rsidP="00836FEB">
            <w:pPr>
              <w:widowControl w:val="0"/>
              <w:autoSpaceDE w:val="0"/>
              <w:snapToGrid w:val="0"/>
              <w:spacing w:before="40" w:after="120" w:line="226" w:lineRule="exact"/>
              <w:ind w:left="-109" w:right="-113"/>
              <w:jc w:val="center"/>
              <w:rPr>
                <w:spacing w:val="1"/>
                <w:sz w:val="20"/>
              </w:rPr>
            </w:pPr>
            <w:r>
              <w:rPr>
                <w:sz w:val="20"/>
              </w:rPr>
              <w:t>1 200 000</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23C" w:rsidRPr="00AE3F81" w:rsidRDefault="005C223C" w:rsidP="00AE3F81">
            <w:pPr>
              <w:widowControl w:val="0"/>
              <w:autoSpaceDE w:val="0"/>
              <w:snapToGrid w:val="0"/>
              <w:spacing w:before="40" w:after="120" w:line="226" w:lineRule="exact"/>
              <w:ind w:left="-103" w:right="-138"/>
              <w:jc w:val="center"/>
              <w:rPr>
                <w:sz w:val="20"/>
              </w:rPr>
            </w:pPr>
            <w:r>
              <w:rPr>
                <w:sz w:val="20"/>
              </w:rPr>
              <w:t>42</w:t>
            </w:r>
            <w:r w:rsidR="00836FEB">
              <w:rPr>
                <w:sz w:val="20"/>
              </w:rPr>
              <w:t>,5</w:t>
            </w:r>
            <w:r w:rsidRPr="00AE3F81">
              <w:rPr>
                <w:sz w:val="20"/>
              </w:rPr>
              <w:t>%</w:t>
            </w:r>
          </w:p>
        </w:tc>
      </w:tr>
      <w:tr w:rsidR="005C223C" w:rsidTr="007928AF">
        <w:tc>
          <w:tcPr>
            <w:tcW w:w="3375"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before="40" w:line="219" w:lineRule="exact"/>
              <w:ind w:left="102"/>
              <w:rPr>
                <w:bCs/>
                <w:sz w:val="20"/>
              </w:rPr>
            </w:pPr>
            <w:r>
              <w:rPr>
                <w:bCs/>
                <w:sz w:val="20"/>
              </w:rPr>
              <w:t>Contribution des porteurs de petits projets</w:t>
            </w:r>
          </w:p>
        </w:tc>
        <w:tc>
          <w:tcPr>
            <w:tcW w:w="3112" w:type="dxa"/>
            <w:tcBorders>
              <w:top w:val="single" w:sz="4" w:space="0" w:color="000000"/>
              <w:left w:val="single" w:sz="4" w:space="0" w:color="000000"/>
              <w:bottom w:val="single" w:sz="4" w:space="0" w:color="000000"/>
            </w:tcBorders>
            <w:shd w:val="clear" w:color="auto" w:fill="auto"/>
            <w:vAlign w:val="center"/>
          </w:tcPr>
          <w:p w:rsidR="005C223C" w:rsidRDefault="00836FEB" w:rsidP="00AE3F81">
            <w:pPr>
              <w:widowControl w:val="0"/>
              <w:autoSpaceDE w:val="0"/>
              <w:snapToGrid w:val="0"/>
              <w:spacing w:before="40" w:after="120" w:line="226" w:lineRule="exact"/>
              <w:ind w:left="-109" w:right="-113"/>
              <w:jc w:val="center"/>
              <w:rPr>
                <w:sz w:val="20"/>
              </w:rPr>
            </w:pPr>
            <w:r>
              <w:rPr>
                <w:sz w:val="20"/>
              </w:rPr>
              <w:t>425 143</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23C" w:rsidRDefault="00836FEB" w:rsidP="00836FEB">
            <w:pPr>
              <w:widowControl w:val="0"/>
              <w:autoSpaceDE w:val="0"/>
              <w:snapToGrid w:val="0"/>
              <w:spacing w:before="40" w:after="120" w:line="226" w:lineRule="exact"/>
              <w:ind w:left="-103" w:right="-138"/>
              <w:jc w:val="center"/>
              <w:rPr>
                <w:sz w:val="20"/>
              </w:rPr>
            </w:pPr>
            <w:r>
              <w:rPr>
                <w:sz w:val="20"/>
              </w:rPr>
              <w:t>15</w:t>
            </w:r>
            <w:r w:rsidR="005C223C">
              <w:rPr>
                <w:sz w:val="20"/>
              </w:rPr>
              <w:t>%</w:t>
            </w:r>
          </w:p>
        </w:tc>
      </w:tr>
    </w:tbl>
    <w:p w:rsidR="005D0DE0" w:rsidRDefault="005D0DE0">
      <w:pPr>
        <w:rPr>
          <w:lang w:val="fr-LU"/>
        </w:rPr>
      </w:pPr>
    </w:p>
    <w:p w:rsidR="00960561" w:rsidRPr="00024568" w:rsidRDefault="00960561" w:rsidP="00960561">
      <w:pPr>
        <w:pStyle w:val="T6"/>
        <w:rPr>
          <w:b/>
          <w:bCs/>
        </w:rPr>
      </w:pPr>
      <w:r>
        <w:rPr>
          <w:b/>
          <w:bCs/>
        </w:rPr>
        <w:t>4</w:t>
      </w:r>
      <w:r w:rsidRPr="00024568">
        <w:rPr>
          <w:b/>
          <w:bCs/>
        </w:rPr>
        <w:t xml:space="preserve">. </w:t>
      </w:r>
      <w:r>
        <w:rPr>
          <w:b/>
          <w:bCs/>
        </w:rPr>
        <w:t>MONTAGE INSTITUTIONNEL</w:t>
      </w:r>
    </w:p>
    <w:p w:rsidR="00E31FC1" w:rsidRDefault="00E31FC1" w:rsidP="00E31FC1">
      <w:pPr>
        <w:pStyle w:val="ps"/>
      </w:pPr>
      <w:r>
        <w:t xml:space="preserve">Le Centre de Coopération pour la Méditerranée de l’UICN (UICN-Med), agira comme opérateur central en assurant la maîtrise d’œuvre de la coordination globale du programme ainsi que la gestion administrative et financière de toutes ses composantes. </w:t>
      </w:r>
    </w:p>
    <w:p w:rsidR="00E31FC1" w:rsidRDefault="00E31FC1" w:rsidP="00836FEB">
      <w:pPr>
        <w:pStyle w:val="ps"/>
      </w:pPr>
      <w:r>
        <w:t xml:space="preserve">Le financement des projets fera l'objet de conventions de financement signées entre l'UICN-Med et les OSC bénéficiaires au niveau de chaque pays. Les versements seront effectués par tranches, sur des comptes spécifiques ouverts par les bénéficiaires, et en fonction de l'avancement des activités.    </w:t>
      </w:r>
    </w:p>
    <w:p w:rsidR="00E31FC1" w:rsidRDefault="00E31FC1" w:rsidP="00EE4D73">
      <w:pPr>
        <w:pStyle w:val="ps"/>
      </w:pPr>
      <w:r>
        <w:t xml:space="preserve">Le </w:t>
      </w:r>
      <w:r w:rsidR="00EE4D73">
        <w:t>dépar</w:t>
      </w:r>
      <w:bookmarkStart w:id="0" w:name="_GoBack"/>
      <w:bookmarkEnd w:id="0"/>
      <w:r w:rsidR="00EE4D73">
        <w:t xml:space="preserve">tement </w:t>
      </w:r>
      <w:r>
        <w:t xml:space="preserve">Afrique du Nord à l'UICN-Med assurera la coordination globale du programme. Dans chaque pays, </w:t>
      </w:r>
      <w:r w:rsidRPr="00E31FC1">
        <w:rPr>
          <w:b/>
          <w:bCs/>
        </w:rPr>
        <w:t>un coordonnateur</w:t>
      </w:r>
      <w:r w:rsidR="00A06A96">
        <w:rPr>
          <w:b/>
          <w:bCs/>
        </w:rPr>
        <w:t xml:space="preserve"> </w:t>
      </w:r>
      <w:r w:rsidRPr="00E31FC1">
        <w:rPr>
          <w:b/>
          <w:bCs/>
        </w:rPr>
        <w:t>national</w:t>
      </w:r>
      <w:r w:rsidR="00A06A96">
        <w:rPr>
          <w:b/>
          <w:bCs/>
        </w:rPr>
        <w:t xml:space="preserve"> </w:t>
      </w:r>
      <w:r w:rsidR="00836FEB" w:rsidRPr="00AE3F81">
        <w:t>est chargé</w:t>
      </w:r>
      <w:r w:rsidR="00836FEB">
        <w:rPr>
          <w:b/>
          <w:bCs/>
        </w:rPr>
        <w:t xml:space="preserve"> </w:t>
      </w:r>
      <w:r w:rsidR="00836FEB">
        <w:t>de</w:t>
      </w:r>
      <w:r w:rsidR="00773591">
        <w:t xml:space="preserve"> la maitrise d'œuvre des différentes composantes du programme</w:t>
      </w:r>
      <w:r>
        <w:t xml:space="preserve">. </w:t>
      </w:r>
      <w:r w:rsidR="00836FEB">
        <w:t xml:space="preserve">Les coordinateurs nationaux seront </w:t>
      </w:r>
      <w:r>
        <w:t>appuyé</w:t>
      </w:r>
      <w:r w:rsidR="00836FEB">
        <w:t>s</w:t>
      </w:r>
      <w:r>
        <w:t xml:space="preserve"> par un réseau d’experts pour la mise en œuvre des différentes activités.</w:t>
      </w:r>
    </w:p>
    <w:p w:rsidR="00E31FC1" w:rsidRPr="00E31FC1" w:rsidRDefault="00E31FC1"/>
    <w:sectPr w:rsidR="00E31FC1" w:rsidRPr="00E31FC1" w:rsidSect="00890EC1">
      <w:headerReference w:type="default" r:id="rId8"/>
      <w:footerReference w:type="default" r:id="rId9"/>
      <w:pgSz w:w="11906" w:h="16838"/>
      <w:pgMar w:top="2268" w:right="1080" w:bottom="15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AF" w:rsidRDefault="007928AF" w:rsidP="00BB7211">
      <w:r>
        <w:separator/>
      </w:r>
    </w:p>
  </w:endnote>
  <w:endnote w:type="continuationSeparator" w:id="0">
    <w:p w:rsidR="007928AF" w:rsidRDefault="007928AF" w:rsidP="00BB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53661"/>
      <w:docPartObj>
        <w:docPartGallery w:val="Page Numbers (Bottom of Page)"/>
        <w:docPartUnique/>
      </w:docPartObj>
    </w:sdtPr>
    <w:sdtEndPr/>
    <w:sdtContent>
      <w:p w:rsidR="007928AF" w:rsidRDefault="00BD6529" w:rsidP="00BD6529">
        <w:pPr>
          <w:pStyle w:val="Footer"/>
          <w:jc w:val="center"/>
        </w:pPr>
        <w:r>
          <w:rPr>
            <w:noProof/>
            <w:lang w:val="es-ES" w:eastAsia="es-ES"/>
          </w:rPr>
          <w:drawing>
            <wp:anchor distT="0" distB="0" distL="114300" distR="114300" simplePos="0" relativeHeight="251659264" behindDoc="1" locked="0" layoutInCell="1" allowOverlap="1" wp14:anchorId="0B0D4986" wp14:editId="17CA4C1C">
              <wp:simplePos x="0" y="0"/>
              <wp:positionH relativeFrom="column">
                <wp:posOffset>-66675</wp:posOffset>
              </wp:positionH>
              <wp:positionV relativeFrom="paragraph">
                <wp:posOffset>-234314</wp:posOffset>
              </wp:positionV>
              <wp:extent cx="454660" cy="432388"/>
              <wp:effectExtent l="0" t="0" r="0" b="0"/>
              <wp:wrapNone/>
              <wp:docPr id="3" name="Picture 3" descr="UI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CN logo"/>
                      <pic:cNvPicPr>
                        <a:picLocks noChangeAspect="1" noChangeArrowheads="1"/>
                      </pic:cNvPicPr>
                    </pic:nvPicPr>
                    <pic:blipFill>
                      <a:blip r:embed="rId1"/>
                      <a:srcRect/>
                      <a:stretch>
                        <a:fillRect/>
                      </a:stretch>
                    </pic:blipFill>
                    <pic:spPr bwMode="auto">
                      <a:xfrm>
                        <a:off x="0" y="0"/>
                        <a:ext cx="456575" cy="4342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21668BBD" wp14:editId="760B83C9">
              <wp:simplePos x="0" y="0"/>
              <wp:positionH relativeFrom="column">
                <wp:posOffset>2061845</wp:posOffset>
              </wp:positionH>
              <wp:positionV relativeFrom="paragraph">
                <wp:posOffset>-234315</wp:posOffset>
              </wp:positionV>
              <wp:extent cx="2073275" cy="505460"/>
              <wp:effectExtent l="0" t="0" r="0" b="0"/>
              <wp:wrapSquare wrapText="bothSides"/>
              <wp:docPr id="2" name="Picture 2" descr="Resultado de imagen de ff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fe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327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FEB">
          <w:rPr>
            <w:noProof/>
            <w:lang w:val="es-ES" w:eastAsia="es-ES"/>
          </w:rPr>
          <w:drawing>
            <wp:anchor distT="0" distB="0" distL="114300" distR="114300" simplePos="0" relativeHeight="251656192" behindDoc="1" locked="0" layoutInCell="1" allowOverlap="1">
              <wp:simplePos x="0" y="0"/>
              <wp:positionH relativeFrom="column">
                <wp:posOffset>5574665</wp:posOffset>
              </wp:positionH>
              <wp:positionV relativeFrom="paragraph">
                <wp:posOffset>-229870</wp:posOffset>
              </wp:positionV>
              <wp:extent cx="768985" cy="429260"/>
              <wp:effectExtent l="19050" t="0" r="0" b="0"/>
              <wp:wrapNone/>
              <wp:docPr id="4" name="Picture 7" descr="C:\Users\maher.mahjoub\iucn-med\donors-partners\MAVA\mava-logo\MAVA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her.mahjoub\iucn-med\donors-partners\MAVA\mava-logo\MAVA Foundation logo.jpg"/>
                      <pic:cNvPicPr>
                        <a:picLocks noChangeAspect="1" noChangeArrowheads="1"/>
                      </pic:cNvPicPr>
                    </pic:nvPicPr>
                    <pic:blipFill>
                      <a:blip r:embed="rId3"/>
                      <a:srcRect/>
                      <a:stretch>
                        <a:fillRect/>
                      </a:stretch>
                    </pic:blipFill>
                    <pic:spPr bwMode="auto">
                      <a:xfrm>
                        <a:off x="0" y="0"/>
                        <a:ext cx="768985" cy="429260"/>
                      </a:xfrm>
                      <a:prstGeom prst="rect">
                        <a:avLst/>
                      </a:prstGeom>
                      <a:noFill/>
                      <a:ln w="9525">
                        <a:noFill/>
                        <a:miter lim="800000"/>
                        <a:headEnd/>
                        <a:tailEnd/>
                      </a:ln>
                    </pic:spPr>
                  </pic:pic>
                </a:graphicData>
              </a:graphic>
            </wp:anchor>
          </w:drawing>
        </w:r>
      </w:p>
    </w:sdtContent>
  </w:sdt>
  <w:p w:rsidR="007928AF" w:rsidRDefault="0079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AF" w:rsidRDefault="007928AF" w:rsidP="00BB7211">
      <w:r>
        <w:separator/>
      </w:r>
    </w:p>
  </w:footnote>
  <w:footnote w:type="continuationSeparator" w:id="0">
    <w:p w:rsidR="007928AF" w:rsidRDefault="007928AF" w:rsidP="00BB7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AF" w:rsidRDefault="00836FEB" w:rsidP="00BB7211">
    <w:pPr>
      <w:pStyle w:val="Header"/>
      <w:pBdr>
        <w:bottom w:val="none" w:sz="0" w:space="0" w:color="auto"/>
      </w:pBdr>
    </w:pPr>
    <w:r>
      <w:rPr>
        <w:noProof/>
        <w:lang w:val="es-ES" w:eastAsia="es-ES"/>
      </w:rPr>
      <w:drawing>
        <wp:anchor distT="0" distB="0" distL="114300" distR="114300" simplePos="0" relativeHeight="251657216" behindDoc="0" locked="0" layoutInCell="1" allowOverlap="1" wp14:anchorId="1D2F8831" wp14:editId="438875AD">
          <wp:simplePos x="0" y="0"/>
          <wp:positionH relativeFrom="column">
            <wp:posOffset>-635</wp:posOffset>
          </wp:positionH>
          <wp:positionV relativeFrom="paragraph">
            <wp:posOffset>-219710</wp:posOffset>
          </wp:positionV>
          <wp:extent cx="979170" cy="838200"/>
          <wp:effectExtent l="0" t="0" r="0" b="0"/>
          <wp:wrapSquare wrapText="bothSides"/>
          <wp:docPr id="5" name="Picture 5" descr="Resultado de imagen de ppi os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ppi osc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764A34"/>
    <w:lvl w:ilvl="0">
      <w:start w:val="1"/>
      <w:numFmt w:val="upperRoman"/>
      <w:lvlText w:val="%1"/>
      <w:lvlJc w:val="left"/>
      <w:pPr>
        <w:tabs>
          <w:tab w:val="num" w:pos="716"/>
        </w:tabs>
        <w:ind w:left="716" w:hanging="432"/>
      </w:pPr>
      <w:rPr>
        <w:rFonts w:ascii="Arial" w:hAnsi="Arial" w:cs="Symbol" w:hint="default"/>
        <w:sz w:val="24"/>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ascii="Symbol" w:hAnsi="Symbol" w:cs="Symbol" w:hint="default"/>
        <w:sz w:val="24"/>
      </w:rPr>
    </w:lvl>
    <w:lvl w:ilvl="3">
      <w:start w:val="1"/>
      <w:numFmt w:val="decimal"/>
      <w:lvlText w:val="%1.%2.%3.%4"/>
      <w:lvlJc w:val="left"/>
      <w:pPr>
        <w:tabs>
          <w:tab w:val="num" w:pos="864"/>
        </w:tabs>
        <w:ind w:left="864" w:hanging="864"/>
      </w:pPr>
      <w:rPr>
        <w:rFonts w:ascii="Symbol" w:hAnsi="Symbol" w:cs="Symbol" w:hint="default"/>
        <w:sz w:val="24"/>
      </w:rPr>
    </w:lvl>
    <w:lvl w:ilvl="4">
      <w:start w:val="1"/>
      <w:numFmt w:val="decimal"/>
      <w:lvlText w:val="%1.%2.%3.%4.%5"/>
      <w:lvlJc w:val="left"/>
      <w:pPr>
        <w:tabs>
          <w:tab w:val="num" w:pos="1008"/>
        </w:tabs>
        <w:ind w:left="1008" w:hanging="1008"/>
      </w:pPr>
      <w:rPr>
        <w:rFonts w:ascii="Symbol" w:hAnsi="Symbol" w:cs="Symbol" w:hint="default"/>
        <w:sz w:val="24"/>
      </w:rPr>
    </w:lvl>
    <w:lvl w:ilvl="5">
      <w:start w:val="1"/>
      <w:numFmt w:val="decimal"/>
      <w:lvlText w:val="%1.%2.%3.%4.%5.%6"/>
      <w:lvlJc w:val="left"/>
      <w:pPr>
        <w:tabs>
          <w:tab w:val="num" w:pos="1152"/>
        </w:tabs>
        <w:ind w:left="1152" w:hanging="1152"/>
      </w:pPr>
      <w:rPr>
        <w:rFonts w:ascii="Symbol" w:hAnsi="Symbol" w:cs="Symbol" w:hint="default"/>
        <w:sz w:val="24"/>
      </w:rPr>
    </w:lvl>
    <w:lvl w:ilvl="6">
      <w:start w:val="1"/>
      <w:numFmt w:val="decimal"/>
      <w:lvlText w:val="%1.%2.%3.%4.%5.%6.%7"/>
      <w:lvlJc w:val="left"/>
      <w:pPr>
        <w:tabs>
          <w:tab w:val="num" w:pos="1296"/>
        </w:tabs>
        <w:ind w:left="1296" w:hanging="1296"/>
      </w:pPr>
      <w:rPr>
        <w:rFonts w:ascii="Symbol" w:hAnsi="Symbol" w:cs="Symbol" w:hint="default"/>
        <w:sz w:val="24"/>
      </w:rPr>
    </w:lvl>
    <w:lvl w:ilvl="7">
      <w:start w:val="1"/>
      <w:numFmt w:val="decimal"/>
      <w:lvlText w:val="%1.%2.%3.%4.%5.%6.%7.%8"/>
      <w:lvlJc w:val="left"/>
      <w:pPr>
        <w:tabs>
          <w:tab w:val="num" w:pos="1440"/>
        </w:tabs>
        <w:ind w:left="1440" w:hanging="1440"/>
      </w:pPr>
      <w:rPr>
        <w:rFonts w:ascii="Symbol" w:hAnsi="Symbol" w:cs="Symbol" w:hint="default"/>
        <w:sz w:val="24"/>
      </w:rPr>
    </w:lvl>
    <w:lvl w:ilvl="8">
      <w:start w:val="1"/>
      <w:numFmt w:val="decimal"/>
      <w:lvlText w:val="%1.%2.%3.%4.%5.%6.%7.%8.%9"/>
      <w:lvlJc w:val="left"/>
      <w:pPr>
        <w:tabs>
          <w:tab w:val="num" w:pos="1584"/>
        </w:tabs>
        <w:ind w:left="1584" w:hanging="1584"/>
      </w:pPr>
      <w:rPr>
        <w:rFonts w:ascii="Symbol" w:hAnsi="Symbol" w:cs="Symbol" w:hint="default"/>
        <w:sz w:val="24"/>
      </w:rPr>
    </w:lvl>
  </w:abstractNum>
  <w:abstractNum w:abstractNumId="1" w15:restartNumberingAfterBreak="0">
    <w:nsid w:val="0000000A"/>
    <w:multiLevelType w:val="multilevel"/>
    <w:tmpl w:val="0000000A"/>
    <w:name w:val="WW8Num12"/>
    <w:lvl w:ilvl="0">
      <w:start w:val="1"/>
      <w:numFmt w:val="bullet"/>
      <w:lvlText w:val=""/>
      <w:lvlJc w:val="left"/>
      <w:pPr>
        <w:tabs>
          <w:tab w:val="num" w:pos="432"/>
        </w:tabs>
        <w:ind w:left="432" w:hanging="432"/>
      </w:pPr>
      <w:rPr>
        <w:rFonts w:ascii="Symbol" w:hAnsi="Symbol" w:cs="Arial"/>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14"/>
    <w:multiLevelType w:val="multilevel"/>
    <w:tmpl w:val="00000014"/>
    <w:name w:val="WW8Num2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rPr>
        <w:rFonts w:ascii="Times New Roman" w:eastAsia="MS Mincho" w:hAnsi="Times New Roman" w:cs="Times New Roman"/>
        <w:sz w:val="24"/>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000019"/>
    <w:multiLevelType w:val="singleLevel"/>
    <w:tmpl w:val="00000019"/>
    <w:name w:val="WW8Num28"/>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D"/>
    <w:multiLevelType w:val="multilevel"/>
    <w:tmpl w:val="0000001D"/>
    <w:name w:val="WW8Num3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5" w15:restartNumberingAfterBreak="0">
    <w:nsid w:val="031D177A"/>
    <w:multiLevelType w:val="hybridMultilevel"/>
    <w:tmpl w:val="A412B1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4F3FD1"/>
    <w:multiLevelType w:val="hybridMultilevel"/>
    <w:tmpl w:val="FCCEF6C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7" w15:restartNumberingAfterBreak="0">
    <w:nsid w:val="207D11BA"/>
    <w:multiLevelType w:val="multilevel"/>
    <w:tmpl w:val="9D58C7F2"/>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5B248E7"/>
    <w:multiLevelType w:val="hybridMultilevel"/>
    <w:tmpl w:val="EED050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0B77C84"/>
    <w:multiLevelType w:val="hybridMultilevel"/>
    <w:tmpl w:val="49BC2AF2"/>
    <w:lvl w:ilvl="0" w:tplc="7278D462">
      <w:numFmt w:val="bullet"/>
      <w:lvlText w:val="-"/>
      <w:lvlJc w:val="left"/>
      <w:pPr>
        <w:ind w:left="1068" w:hanging="360"/>
      </w:pPr>
      <w:rPr>
        <w:rFonts w:ascii="Arial" w:eastAsia="MS Mincho"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589650B"/>
    <w:multiLevelType w:val="hybridMultilevel"/>
    <w:tmpl w:val="2CA4F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A36F18"/>
    <w:multiLevelType w:val="hybridMultilevel"/>
    <w:tmpl w:val="6E042AC4"/>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9368D8"/>
    <w:multiLevelType w:val="hybridMultilevel"/>
    <w:tmpl w:val="D4545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064DBC"/>
    <w:multiLevelType w:val="hybridMultilevel"/>
    <w:tmpl w:val="F4A28BE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7"/>
  </w:num>
  <w:num w:numId="7">
    <w:abstractNumId w:val="5"/>
  </w:num>
  <w:num w:numId="8">
    <w:abstractNumId w:val="8"/>
  </w:num>
  <w:num w:numId="9">
    <w:abstractNumId w:val="10"/>
  </w:num>
  <w:num w:numId="10">
    <w:abstractNumId w:val="11"/>
  </w:num>
  <w:num w:numId="11">
    <w:abstractNumId w:val="6"/>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C223C"/>
    <w:rsid w:val="00015998"/>
    <w:rsid w:val="00024568"/>
    <w:rsid w:val="00055BA3"/>
    <w:rsid w:val="001414FA"/>
    <w:rsid w:val="00165C7F"/>
    <w:rsid w:val="002F4CCB"/>
    <w:rsid w:val="00304807"/>
    <w:rsid w:val="0030637D"/>
    <w:rsid w:val="00307F2E"/>
    <w:rsid w:val="003D5282"/>
    <w:rsid w:val="00414EB6"/>
    <w:rsid w:val="004428F0"/>
    <w:rsid w:val="00477A98"/>
    <w:rsid w:val="00481BA0"/>
    <w:rsid w:val="004A0396"/>
    <w:rsid w:val="004A3BC8"/>
    <w:rsid w:val="004B343D"/>
    <w:rsid w:val="005141D6"/>
    <w:rsid w:val="00540AAA"/>
    <w:rsid w:val="005510D8"/>
    <w:rsid w:val="005674C6"/>
    <w:rsid w:val="005C223C"/>
    <w:rsid w:val="005D0DE0"/>
    <w:rsid w:val="00631045"/>
    <w:rsid w:val="006612C7"/>
    <w:rsid w:val="006B02AD"/>
    <w:rsid w:val="006B6692"/>
    <w:rsid w:val="00773591"/>
    <w:rsid w:val="007928AF"/>
    <w:rsid w:val="00836FEB"/>
    <w:rsid w:val="008433B4"/>
    <w:rsid w:val="00890EC1"/>
    <w:rsid w:val="008E414D"/>
    <w:rsid w:val="00900E5D"/>
    <w:rsid w:val="00906980"/>
    <w:rsid w:val="00957B70"/>
    <w:rsid w:val="00957BCE"/>
    <w:rsid w:val="00960561"/>
    <w:rsid w:val="009628A9"/>
    <w:rsid w:val="00974530"/>
    <w:rsid w:val="00A06A96"/>
    <w:rsid w:val="00A56117"/>
    <w:rsid w:val="00A87684"/>
    <w:rsid w:val="00AE3F81"/>
    <w:rsid w:val="00B95165"/>
    <w:rsid w:val="00BB6398"/>
    <w:rsid w:val="00BB7211"/>
    <w:rsid w:val="00BD6529"/>
    <w:rsid w:val="00BF3B67"/>
    <w:rsid w:val="00C50497"/>
    <w:rsid w:val="00C95BC9"/>
    <w:rsid w:val="00D44D9E"/>
    <w:rsid w:val="00D4510A"/>
    <w:rsid w:val="00DF1B72"/>
    <w:rsid w:val="00E31FC1"/>
    <w:rsid w:val="00E96AA4"/>
    <w:rsid w:val="00EE4D73"/>
    <w:rsid w:val="00EE6E40"/>
    <w:rsid w:val="00F1783B"/>
    <w:rsid w:val="00F30DF9"/>
    <w:rsid w:val="00F45AD3"/>
    <w:rsid w:val="00F70F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DCD9DFD-83E7-4A5F-A901-C0316DF8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ind w:left="39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3C"/>
    <w:pPr>
      <w:suppressAutoHyphens/>
      <w:spacing w:after="0"/>
      <w:ind w:left="0" w:firstLine="0"/>
    </w:pPr>
    <w:rPr>
      <w:rFonts w:ascii="Arial" w:eastAsia="MS Mincho" w:hAnsi="Arial" w:cs="Arial"/>
      <w:szCs w:val="20"/>
      <w:lang w:val="fr-FR" w:eastAsia="ar-SA"/>
    </w:rPr>
  </w:style>
  <w:style w:type="paragraph" w:styleId="Heading2">
    <w:name w:val="heading 2"/>
    <w:basedOn w:val="Normal"/>
    <w:next w:val="ps"/>
    <w:link w:val="Heading2Char"/>
    <w:qFormat/>
    <w:rsid w:val="00024568"/>
    <w:pPr>
      <w:tabs>
        <w:tab w:val="num" w:pos="454"/>
      </w:tabs>
      <w:spacing w:before="360"/>
      <w:ind w:left="454" w:hanging="454"/>
      <w:jc w:val="both"/>
      <w:outlineLvl w:val="1"/>
    </w:pPr>
    <w:rPr>
      <w:rFonts w:ascii="Arial Gras" w:hAnsi="Arial Gras" w:cs="Arial Gra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
    <w:name w:val="ps"/>
    <w:basedOn w:val="Normal"/>
    <w:uiPriority w:val="99"/>
    <w:rsid w:val="005C223C"/>
    <w:pPr>
      <w:keepLines/>
      <w:spacing w:before="200"/>
      <w:jc w:val="both"/>
    </w:pPr>
    <w:rPr>
      <w:rFonts w:cs="Times New Roman"/>
    </w:rPr>
  </w:style>
  <w:style w:type="paragraph" w:styleId="Header">
    <w:name w:val="header"/>
    <w:basedOn w:val="Normal"/>
    <w:link w:val="HeaderChar"/>
    <w:rsid w:val="005C223C"/>
    <w:pPr>
      <w:keepLines/>
      <w:pBdr>
        <w:bottom w:val="single" w:sz="4" w:space="6" w:color="000000"/>
      </w:pBdr>
      <w:spacing w:before="80" w:after="240"/>
    </w:pPr>
    <w:rPr>
      <w:i/>
      <w:iCs/>
      <w:sz w:val="20"/>
    </w:rPr>
  </w:style>
  <w:style w:type="character" w:customStyle="1" w:styleId="HeaderChar">
    <w:name w:val="Header Char"/>
    <w:basedOn w:val="DefaultParagraphFont"/>
    <w:link w:val="Header"/>
    <w:rsid w:val="005C223C"/>
    <w:rPr>
      <w:rFonts w:ascii="Arial" w:eastAsia="MS Mincho" w:hAnsi="Arial" w:cs="Arial"/>
      <w:i/>
      <w:iCs/>
      <w:sz w:val="20"/>
      <w:szCs w:val="20"/>
      <w:lang w:val="fr-FR" w:eastAsia="ar-SA"/>
    </w:rPr>
  </w:style>
  <w:style w:type="paragraph" w:customStyle="1" w:styleId="ea">
    <w:name w:val="ea"/>
    <w:basedOn w:val="Normal"/>
    <w:rsid w:val="005C223C"/>
    <w:pPr>
      <w:keepLines/>
      <w:tabs>
        <w:tab w:val="left" w:pos="284"/>
        <w:tab w:val="num" w:pos="340"/>
      </w:tabs>
      <w:spacing w:before="120"/>
      <w:ind w:left="340" w:hanging="340"/>
      <w:jc w:val="both"/>
    </w:pPr>
    <w:rPr>
      <w:szCs w:val="22"/>
    </w:rPr>
  </w:style>
  <w:style w:type="paragraph" w:customStyle="1" w:styleId="T5">
    <w:name w:val="T5"/>
    <w:basedOn w:val="Normal"/>
    <w:rsid w:val="005C223C"/>
    <w:pPr>
      <w:spacing w:before="200"/>
      <w:jc w:val="both"/>
    </w:pPr>
    <w:rPr>
      <w:b/>
      <w:i/>
    </w:rPr>
  </w:style>
  <w:style w:type="paragraph" w:customStyle="1" w:styleId="T6">
    <w:name w:val="T6"/>
    <w:basedOn w:val="Normal"/>
    <w:rsid w:val="005C223C"/>
    <w:pPr>
      <w:spacing w:before="280"/>
    </w:pPr>
    <w:rPr>
      <w:i/>
    </w:rPr>
  </w:style>
  <w:style w:type="paragraph" w:styleId="ListParagraph">
    <w:name w:val="List Paragraph"/>
    <w:basedOn w:val="Normal"/>
    <w:uiPriority w:val="34"/>
    <w:qFormat/>
    <w:rsid w:val="005C223C"/>
    <w:pPr>
      <w:ind w:left="720"/>
    </w:pPr>
    <w:rPr>
      <w:rFonts w:ascii="Times New Roman" w:eastAsia="Times New Roman" w:hAnsi="Times New Roman" w:cs="Times New Roman"/>
      <w:szCs w:val="22"/>
    </w:rPr>
  </w:style>
  <w:style w:type="paragraph" w:styleId="Footer">
    <w:name w:val="footer"/>
    <w:basedOn w:val="Normal"/>
    <w:link w:val="FooterChar"/>
    <w:uiPriority w:val="99"/>
    <w:unhideWhenUsed/>
    <w:rsid w:val="00BB7211"/>
    <w:pPr>
      <w:tabs>
        <w:tab w:val="center" w:pos="4252"/>
        <w:tab w:val="right" w:pos="8504"/>
      </w:tabs>
    </w:pPr>
  </w:style>
  <w:style w:type="character" w:customStyle="1" w:styleId="FooterChar">
    <w:name w:val="Footer Char"/>
    <w:basedOn w:val="DefaultParagraphFont"/>
    <w:link w:val="Footer"/>
    <w:uiPriority w:val="99"/>
    <w:rsid w:val="00BB7211"/>
    <w:rPr>
      <w:rFonts w:ascii="Arial" w:eastAsia="MS Mincho" w:hAnsi="Arial" w:cs="Arial"/>
      <w:szCs w:val="20"/>
      <w:lang w:val="fr-FR" w:eastAsia="ar-SA"/>
    </w:rPr>
  </w:style>
  <w:style w:type="paragraph" w:styleId="BalloonText">
    <w:name w:val="Balloon Text"/>
    <w:basedOn w:val="Normal"/>
    <w:link w:val="BalloonTextChar"/>
    <w:uiPriority w:val="99"/>
    <w:semiHidden/>
    <w:unhideWhenUsed/>
    <w:rsid w:val="00BB7211"/>
    <w:rPr>
      <w:rFonts w:ascii="Tahoma" w:hAnsi="Tahoma" w:cs="Tahoma"/>
      <w:sz w:val="16"/>
      <w:szCs w:val="16"/>
    </w:rPr>
  </w:style>
  <w:style w:type="character" w:customStyle="1" w:styleId="BalloonTextChar">
    <w:name w:val="Balloon Text Char"/>
    <w:basedOn w:val="DefaultParagraphFont"/>
    <w:link w:val="BalloonText"/>
    <w:uiPriority w:val="99"/>
    <w:semiHidden/>
    <w:rsid w:val="00BB7211"/>
    <w:rPr>
      <w:rFonts w:ascii="Tahoma" w:eastAsia="MS Mincho" w:hAnsi="Tahoma" w:cs="Tahoma"/>
      <w:sz w:val="16"/>
      <w:szCs w:val="16"/>
      <w:lang w:val="fr-FR" w:eastAsia="ar-SA"/>
    </w:rPr>
  </w:style>
  <w:style w:type="character" w:customStyle="1" w:styleId="Heading2Char">
    <w:name w:val="Heading 2 Char"/>
    <w:basedOn w:val="DefaultParagraphFont"/>
    <w:link w:val="Heading2"/>
    <w:rsid w:val="00024568"/>
    <w:rPr>
      <w:rFonts w:ascii="Arial Gras" w:eastAsia="MS Mincho" w:hAnsi="Arial Gras" w:cs="Arial Gras"/>
      <w:b/>
      <w:bCs/>
      <w:sz w:val="28"/>
      <w:szCs w:val="28"/>
      <w:u w:val="single"/>
      <w:lang w:val="fr-FR" w:eastAsia="ar-SA"/>
    </w:rPr>
  </w:style>
  <w:style w:type="paragraph" w:customStyle="1" w:styleId="ListParagraph1">
    <w:name w:val="List Paragraph1"/>
    <w:basedOn w:val="Normal"/>
    <w:rsid w:val="00024568"/>
    <w:pPr>
      <w:spacing w:after="120"/>
      <w:ind w:left="720"/>
      <w:jc w:val="both"/>
    </w:pPr>
    <w:rPr>
      <w:sz w:val="20"/>
    </w:rPr>
  </w:style>
  <w:style w:type="character" w:styleId="Hyperlink">
    <w:name w:val="Hyperlink"/>
    <w:basedOn w:val="DefaultParagraphFont"/>
    <w:uiPriority w:val="99"/>
    <w:unhideWhenUsed/>
    <w:rsid w:val="008E414D"/>
    <w:rPr>
      <w:color w:val="0000FF" w:themeColor="hyperlink"/>
      <w:u w:val="single"/>
    </w:rPr>
  </w:style>
  <w:style w:type="paragraph" w:customStyle="1" w:styleId="T2">
    <w:name w:val="T2"/>
    <w:basedOn w:val="Normal"/>
    <w:next w:val="Normal"/>
    <w:rsid w:val="00E31FC1"/>
    <w:pPr>
      <w:keepNext/>
      <w:keepLines/>
      <w:spacing w:before="300"/>
      <w:jc w:val="both"/>
    </w:pPr>
    <w:rPr>
      <w:b/>
      <w:sz w:val="24"/>
      <w:szCs w:val="24"/>
      <w:u w:val="single"/>
    </w:rPr>
  </w:style>
  <w:style w:type="paragraph" w:customStyle="1" w:styleId="Paragraphedeliste">
    <w:name w:val="Paragraphe de liste"/>
    <w:basedOn w:val="Normal"/>
    <w:uiPriority w:val="34"/>
    <w:qFormat/>
    <w:rsid w:val="00836FEB"/>
    <w:pPr>
      <w:spacing w:before="180"/>
      <w:ind w:left="720"/>
      <w:jc w:val="both"/>
    </w:pPr>
    <w:rPr>
      <w:rFonts w:ascii="Times New Roman" w:eastAsia="Times New Roman" w:hAnsi="Times New Roman" w:cs="Times New Roman"/>
      <w:sz w:val="20"/>
      <w:szCs w:val="22"/>
    </w:rPr>
  </w:style>
  <w:style w:type="paragraph" w:customStyle="1" w:styleId="Default">
    <w:name w:val="Default"/>
    <w:rsid w:val="00836FEB"/>
    <w:pPr>
      <w:suppressAutoHyphens/>
      <w:autoSpaceDE w:val="0"/>
      <w:spacing w:after="0"/>
      <w:ind w:left="0" w:firstLine="0"/>
    </w:pPr>
    <w:rPr>
      <w:rFonts w:ascii="Times New Roman" w:eastAsia="Arial" w:hAnsi="Times New Roman" w:cs="Times New Roman"/>
      <w:color w:val="000000"/>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ucn.org/mediterran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956</Words>
  <Characters>5259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maher.mahjoub</dc:creator>
  <cp:lastModifiedBy>Maher Mahjoub</cp:lastModifiedBy>
  <cp:revision>15</cp:revision>
  <dcterms:created xsi:type="dcterms:W3CDTF">2014-07-24T11:55:00Z</dcterms:created>
  <dcterms:modified xsi:type="dcterms:W3CDTF">2018-06-13T10:41:00Z</dcterms:modified>
</cp:coreProperties>
</file>