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15" w:rsidRDefault="00BB31E6" w:rsidP="00CE6F7E">
      <w:pPr>
        <w:ind w:left="-567"/>
      </w:pPr>
      <w:r>
        <w:rPr>
          <w:noProof/>
          <w:lang w:val="en-US" w:eastAsia="en-US"/>
        </w:rPr>
        <w:drawing>
          <wp:inline distT="0" distB="0" distL="0" distR="0">
            <wp:extent cx="1153160" cy="1025525"/>
            <wp:effectExtent l="19050" t="0" r="8890" b="0"/>
            <wp:docPr id="1" name="Picture 1" descr="IUCN_norm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normal_colour"/>
                    <pic:cNvPicPr>
                      <a:picLocks noChangeAspect="1" noChangeArrowheads="1"/>
                    </pic:cNvPicPr>
                  </pic:nvPicPr>
                  <pic:blipFill>
                    <a:blip r:embed="rId8" cstate="print"/>
                    <a:srcRect l="10271" t="13802" r="12675" b="14479"/>
                    <a:stretch>
                      <a:fillRect/>
                    </a:stretch>
                  </pic:blipFill>
                  <pic:spPr bwMode="auto">
                    <a:xfrm>
                      <a:off x="0" y="0"/>
                      <a:ext cx="1153160" cy="1025525"/>
                    </a:xfrm>
                    <a:prstGeom prst="rect">
                      <a:avLst/>
                    </a:prstGeom>
                    <a:noFill/>
                    <a:ln w="9525">
                      <a:noFill/>
                      <a:miter lim="800000"/>
                      <a:headEnd/>
                      <a:tailEnd/>
                    </a:ln>
                  </pic:spPr>
                </pic:pic>
              </a:graphicData>
            </a:graphic>
          </wp:inline>
        </w:drawing>
      </w:r>
    </w:p>
    <w:p w:rsidR="00A11699" w:rsidRDefault="00A11699" w:rsidP="005D2A53"/>
    <w:p w:rsidR="00860E15" w:rsidRPr="00CE6F7E" w:rsidRDefault="00BB31E6" w:rsidP="00CE6F7E">
      <w:pPr>
        <w:spacing w:before="180" w:line="240" w:lineRule="auto"/>
        <w:jc w:val="left"/>
        <w:rPr>
          <w:sz w:val="46"/>
          <w:szCs w:val="46"/>
        </w:rPr>
      </w:pPr>
      <w:r w:rsidRPr="00CE6F7E">
        <w:rPr>
          <w:sz w:val="46"/>
          <w:szCs w:val="46"/>
        </w:rPr>
        <w:t>The value of investing in locally-controlled forestry</w:t>
      </w:r>
    </w:p>
    <w:p w:rsidR="00CE6F7E" w:rsidRPr="00D3064C" w:rsidRDefault="00CE6F7E" w:rsidP="00CE6F7E">
      <w:pPr>
        <w:spacing w:before="180" w:line="240" w:lineRule="auto"/>
        <w:ind w:right="-425"/>
        <w:jc w:val="left"/>
        <w:rPr>
          <w:color w:val="5F5F5F"/>
          <w:sz w:val="28"/>
          <w:szCs w:val="28"/>
        </w:rPr>
      </w:pPr>
      <w:r>
        <w:rPr>
          <w:rFonts w:ascii="HelveticaNeue-Light" w:hAnsi="HelveticaNeue-Light" w:cs="HelveticaNeue-Light"/>
          <w:color w:val="4D4D4D"/>
          <w:sz w:val="28"/>
          <w:szCs w:val="28"/>
        </w:rPr>
        <w:t xml:space="preserve">The economic impacts of scaling up LLS </w:t>
      </w:r>
      <w:r w:rsidR="007A3DD5">
        <w:rPr>
          <w:rFonts w:ascii="HelveticaNeue-Light" w:hAnsi="HelveticaNeue-Light" w:cs="HelveticaNeue-Light"/>
          <w:color w:val="4D4D4D"/>
          <w:sz w:val="28"/>
          <w:szCs w:val="28"/>
        </w:rPr>
        <w:t xml:space="preserve">experiences </w:t>
      </w:r>
      <w:r>
        <w:rPr>
          <w:rFonts w:ascii="HelveticaNeue-Light" w:hAnsi="HelveticaNeue-Light" w:cs="HelveticaNeue-Light"/>
          <w:color w:val="4D4D4D"/>
          <w:sz w:val="28"/>
          <w:szCs w:val="28"/>
        </w:rPr>
        <w:t>in Africa, Asia &amp; Latin America</w:t>
      </w:r>
    </w:p>
    <w:p w:rsidR="006029B0" w:rsidRDefault="006029B0" w:rsidP="005D2A53">
      <w:pPr>
        <w:rPr>
          <w:lang w:eastAsia="en-US"/>
        </w:rPr>
      </w:pPr>
    </w:p>
    <w:p w:rsidR="002628CF" w:rsidRPr="005D2A53" w:rsidRDefault="002628CF" w:rsidP="005D2A53">
      <w:pPr>
        <w:rPr>
          <w:rFonts w:asciiTheme="majorHAnsi" w:hAnsiTheme="majorHAnsi"/>
        </w:rPr>
      </w:pPr>
    </w:p>
    <w:p w:rsidR="005A1A9D" w:rsidRPr="005D2A53" w:rsidRDefault="0021468F" w:rsidP="005D2A53">
      <w:pPr>
        <w:rPr>
          <w:rFonts w:asciiTheme="majorHAnsi" w:hAnsiTheme="majorHAnsi"/>
        </w:rPr>
      </w:pPr>
      <w:r w:rsidRPr="0021468F">
        <w:rPr>
          <w:rFonts w:asciiTheme="majorHAnsi" w:hAnsiTheme="majorHAnsi"/>
          <w:noProof/>
        </w:rPr>
        <w:pict>
          <v:shapetype id="_x0000_t202" coordsize="21600,21600" o:spt="202" path="m,l,21600r21600,l21600,xe">
            <v:stroke joinstyle="miter"/>
            <v:path gradientshapeok="t" o:connecttype="rect"/>
          </v:shapetype>
          <v:shape id="_x0000_s1049" type="#_x0000_t202" style="position:absolute;left:0;text-align:left;margin-left:-1.95pt;margin-top:357.1pt;width:604.35pt;height:403pt;z-index:251658240;mso-position-horizontal-relative:page;mso-position-vertical-relative:page" stroked="f">
            <v:textbox style="mso-next-textbox:#_x0000_s1049;mso-fit-shape-to-text:t" inset="0,0,0,0">
              <w:txbxContent>
                <w:p w:rsidR="005824B4" w:rsidRPr="00BF1C52" w:rsidRDefault="005824B4" w:rsidP="005824B4">
                  <w:pPr>
                    <w:jc w:val="left"/>
                  </w:pPr>
                  <w:r>
                    <w:rPr>
                      <w:noProof/>
                      <w:lang w:val="en-US" w:eastAsia="en-US"/>
                    </w:rPr>
                    <w:drawing>
                      <wp:inline distT="0" distB="0" distL="0" distR="0">
                        <wp:extent cx="7675245" cy="5118353"/>
                        <wp:effectExtent l="19050" t="0" r="1905" b="0"/>
                        <wp:docPr id="33" name="Picture 4" descr="D:\Lucy's Pictures\Forests\Zambia - woman and NT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ucy's Pictures\Forests\Zambia - woman and NTFP.jpg"/>
                                <pic:cNvPicPr>
                                  <a:picLocks noChangeAspect="1" noChangeArrowheads="1"/>
                                </pic:cNvPicPr>
                              </pic:nvPicPr>
                              <pic:blipFill>
                                <a:blip r:embed="rId9" cstate="email"/>
                                <a:srcRect/>
                                <a:stretch>
                                  <a:fillRect/>
                                </a:stretch>
                              </pic:blipFill>
                              <pic:spPr bwMode="auto">
                                <a:xfrm flipH="1">
                                  <a:off x="0" y="0"/>
                                  <a:ext cx="7675245" cy="5118353"/>
                                </a:xfrm>
                                <a:prstGeom prst="rect">
                                  <a:avLst/>
                                </a:prstGeom>
                                <a:noFill/>
                                <a:ln w="9525">
                                  <a:noFill/>
                                  <a:miter lim="800000"/>
                                  <a:headEnd/>
                                  <a:tailEnd/>
                                </a:ln>
                              </pic:spPr>
                            </pic:pic>
                          </a:graphicData>
                        </a:graphic>
                      </wp:inline>
                    </w:drawing>
                  </w:r>
                </w:p>
              </w:txbxContent>
            </v:textbox>
            <w10:wrap type="square" anchorx="page" anchory="page"/>
            <w10:anchorlock/>
          </v:shape>
        </w:pict>
      </w:r>
    </w:p>
    <w:p w:rsidR="007331ED" w:rsidRDefault="007331ED" w:rsidP="005D2A53">
      <w:pPr>
        <w:pStyle w:val="Heading2"/>
      </w:pPr>
    </w:p>
    <w:p w:rsidR="007331ED" w:rsidRPr="007331ED" w:rsidRDefault="007331ED" w:rsidP="007331ED"/>
    <w:p w:rsidR="007331ED" w:rsidRPr="007331ED" w:rsidRDefault="007331ED" w:rsidP="007331ED"/>
    <w:p w:rsidR="007331ED" w:rsidRPr="007331ED" w:rsidRDefault="007331ED" w:rsidP="007331ED"/>
    <w:p w:rsidR="007331ED" w:rsidRPr="007331ED" w:rsidRDefault="007331ED" w:rsidP="007331ED"/>
    <w:p w:rsidR="007331ED" w:rsidRPr="007331ED" w:rsidRDefault="007331ED" w:rsidP="007331ED">
      <w:pPr>
        <w:tabs>
          <w:tab w:val="left" w:pos="6228"/>
        </w:tabs>
      </w:pPr>
      <w:r>
        <w:tab/>
      </w:r>
    </w:p>
    <w:p w:rsidR="007331ED" w:rsidRDefault="007331ED" w:rsidP="007331ED"/>
    <w:p w:rsidR="00EB0AA5" w:rsidRPr="007331ED" w:rsidRDefault="00EB0AA5" w:rsidP="007331ED">
      <w:pPr>
        <w:sectPr w:rsidR="00EB0AA5" w:rsidRPr="007331ED" w:rsidSect="00CE6F7E">
          <w:headerReference w:type="even" r:id="rId10"/>
          <w:headerReference w:type="default" r:id="rId11"/>
          <w:footerReference w:type="default" r:id="rId12"/>
          <w:headerReference w:type="first" r:id="rId13"/>
          <w:endnotePr>
            <w:numFmt w:val="decimal"/>
          </w:endnotePr>
          <w:pgSz w:w="11906" w:h="16838" w:code="9"/>
          <w:pgMar w:top="851" w:right="851" w:bottom="851" w:left="851" w:header="0" w:footer="0" w:gutter="0"/>
          <w:cols w:space="708"/>
          <w:docGrid w:linePitch="360"/>
        </w:sectPr>
      </w:pPr>
    </w:p>
    <w:tbl>
      <w:tblPr>
        <w:tblStyle w:val="TableGrid"/>
        <w:tblW w:w="0" w:type="auto"/>
        <w:shd w:val="clear" w:color="auto" w:fill="F2F2F2" w:themeFill="background1" w:themeFillShade="F2"/>
        <w:tblLook w:val="04A0"/>
      </w:tblPr>
      <w:tblGrid>
        <w:gridCol w:w="9854"/>
      </w:tblGrid>
      <w:tr w:rsidR="0063186A" w:rsidRPr="0063186A" w:rsidTr="006575EA">
        <w:trPr>
          <w:trHeight w:val="14946"/>
        </w:trPr>
        <w:tc>
          <w:tcPr>
            <w:tcW w:w="9854" w:type="dxa"/>
            <w:shd w:val="clear" w:color="auto" w:fill="F2F2F2" w:themeFill="background1" w:themeFillShade="F2"/>
            <w:vAlign w:val="center"/>
          </w:tcPr>
          <w:p w:rsidR="0063186A" w:rsidRPr="00D52EDA" w:rsidRDefault="0063186A" w:rsidP="00CA2587">
            <w:pPr>
              <w:pStyle w:val="Heading1"/>
              <w:outlineLvl w:val="0"/>
            </w:pPr>
            <w:r w:rsidRPr="00D52EDA">
              <w:lastRenderedPageBreak/>
              <w:t>Why under-valuation is a problem</w:t>
            </w:r>
          </w:p>
          <w:p w:rsidR="0063186A" w:rsidRPr="0096071F" w:rsidRDefault="0063186A" w:rsidP="00C753C8">
            <w:pPr>
              <w:spacing w:line="240" w:lineRule="atLeast"/>
              <w:rPr>
                <w:rFonts w:cs="Arial"/>
                <w:sz w:val="19"/>
              </w:rPr>
            </w:pPr>
            <w:r w:rsidRPr="0096071F">
              <w:rPr>
                <w:rFonts w:cs="Arial"/>
                <w:sz w:val="19"/>
              </w:rPr>
              <w:t>Forests are a good investment option. In the words of one of the world’s leading international news and business weeklies:</w:t>
            </w:r>
          </w:p>
          <w:p w:rsidR="0063186A" w:rsidRPr="0096071F" w:rsidRDefault="0063186A" w:rsidP="0096071F">
            <w:pPr>
              <w:spacing w:before="100" w:line="240" w:lineRule="atLeast"/>
              <w:ind w:left="408" w:right="425"/>
              <w:rPr>
                <w:rFonts w:cs="Arial"/>
                <w:i/>
              </w:rPr>
            </w:pPr>
            <w:r w:rsidRPr="0096071F">
              <w:rPr>
                <w:rFonts w:cs="Arial"/>
                <w:i/>
              </w:rPr>
              <w:t xml:space="preserve">“A growing number of rich individuals, endowments and pension funds are including timber as a “hard asset” in portfolios. No wonder. Average annual returns on timber </w:t>
            </w:r>
            <w:r w:rsidR="000B4857" w:rsidRPr="0096071F">
              <w:rPr>
                <w:rFonts w:ascii="Courier New" w:hAnsi="Courier New" w:cs="Courier New"/>
                <w:i/>
              </w:rPr>
              <w:t>-</w:t>
            </w:r>
            <w:r w:rsidR="000B4857" w:rsidRPr="0096071F">
              <w:rPr>
                <w:rFonts w:cs="Arial"/>
                <w:i/>
              </w:rPr>
              <w:t xml:space="preserve"> </w:t>
            </w:r>
            <w:r w:rsidRPr="0096071F">
              <w:rPr>
                <w:rFonts w:cs="Arial"/>
                <w:i/>
              </w:rPr>
              <w:t xml:space="preserve">meaning managed preserves that are eventually harvested </w:t>
            </w:r>
            <w:r w:rsidR="000B4857" w:rsidRPr="0096071F">
              <w:rPr>
                <w:rFonts w:ascii="Courier New" w:hAnsi="Courier New" w:cs="Courier New"/>
                <w:i/>
              </w:rPr>
              <w:t>-</w:t>
            </w:r>
            <w:r w:rsidRPr="0096071F">
              <w:rPr>
                <w:rFonts w:cs="Arial"/>
                <w:i/>
              </w:rPr>
              <w:t xml:space="preserve"> have outstripped those from leading global stock indices, property, oil and gold for the past decade. Worldwide, timber has attracted more than $20 billion of investment from institutional investors</w:t>
            </w:r>
            <w:r w:rsidRPr="0096071F">
              <w:rPr>
                <w:rStyle w:val="EndnoteReference"/>
                <w:rFonts w:cs="Arial"/>
                <w:i/>
              </w:rPr>
              <w:endnoteReference w:id="2"/>
            </w:r>
            <w:r w:rsidRPr="0096071F">
              <w:rPr>
                <w:rFonts w:cs="Arial"/>
                <w:i/>
              </w:rPr>
              <w:t xml:space="preserve">.” </w:t>
            </w:r>
          </w:p>
          <w:p w:rsidR="0063186A" w:rsidRPr="0096071F" w:rsidRDefault="0063186A" w:rsidP="00BA7F39">
            <w:pPr>
              <w:spacing w:before="180" w:line="240" w:lineRule="atLeast"/>
              <w:rPr>
                <w:rFonts w:cs="Arial"/>
                <w:sz w:val="19"/>
              </w:rPr>
            </w:pPr>
            <w:r w:rsidRPr="0096071F">
              <w:rPr>
                <w:rFonts w:cs="Arial"/>
                <w:sz w:val="19"/>
              </w:rPr>
              <w:t>Since the 1980s the forest sector has outperformed the stock market - a diversified timber portfolio would have returned 13.3% annually compared with 11.6% for the S&amp;P 500</w:t>
            </w:r>
            <w:r w:rsidRPr="0096071F">
              <w:rPr>
                <w:rStyle w:val="EndnoteReference"/>
                <w:rFonts w:cs="Arial"/>
                <w:sz w:val="19"/>
              </w:rPr>
              <w:endnoteReference w:id="3"/>
            </w:r>
            <w:r w:rsidRPr="0096071F">
              <w:rPr>
                <w:rFonts w:cs="Arial"/>
                <w:sz w:val="19"/>
              </w:rPr>
              <w:t xml:space="preserve">. However, while banks and financial institutions have been eager to tap into the market opportunities that managed forestry affords, public sector investors have proved to be much less responsive to the potential of </w:t>
            </w:r>
            <w:r w:rsidR="00595E19" w:rsidRPr="0096071F">
              <w:rPr>
                <w:rFonts w:cs="Arial"/>
                <w:sz w:val="19"/>
              </w:rPr>
              <w:t xml:space="preserve">sustainable forest management </w:t>
            </w:r>
            <w:r w:rsidRPr="0096071F">
              <w:rPr>
                <w:rFonts w:cs="Arial"/>
                <w:sz w:val="19"/>
              </w:rPr>
              <w:t>to contribute towards economic growth. The benefits have tended to be massively under-valued by governments and development assistance donors.</w:t>
            </w:r>
          </w:p>
          <w:p w:rsidR="0063186A" w:rsidRPr="0096071F" w:rsidRDefault="0063186A" w:rsidP="00BA7F39">
            <w:pPr>
              <w:spacing w:before="180" w:line="240" w:lineRule="atLeast"/>
              <w:rPr>
                <w:rFonts w:cs="Arial"/>
                <w:sz w:val="19"/>
              </w:rPr>
            </w:pPr>
            <w:r w:rsidRPr="0096071F">
              <w:rPr>
                <w:rFonts w:cs="Arial"/>
                <w:sz w:val="19"/>
              </w:rPr>
              <w:t>This seeming myopia is particularly apparent in relation to locally-controlled forest management</w:t>
            </w:r>
            <w:r w:rsidR="00595E19" w:rsidRPr="0096071F">
              <w:rPr>
                <w:rFonts w:cs="Arial"/>
                <w:sz w:val="19"/>
              </w:rPr>
              <w:t>. As defined by the Growing Forest Partnership</w:t>
            </w:r>
            <w:r w:rsidR="001A1B26" w:rsidRPr="0096071F">
              <w:rPr>
                <w:rFonts w:cs="Arial"/>
                <w:sz w:val="19"/>
              </w:rPr>
              <w:t>s</w:t>
            </w:r>
            <w:r w:rsidR="00595E19" w:rsidRPr="0096071F">
              <w:rPr>
                <w:rFonts w:cs="Arial"/>
                <w:sz w:val="19"/>
              </w:rPr>
              <w:t>, locally-controlled forest management is: “the local right for forest owner families and communities to make decisions on commercial forest management and land use, with secure tenure rights, freedom of association and access to markets and technology”</w:t>
            </w:r>
            <w:r w:rsidRPr="0096071F">
              <w:rPr>
                <w:rStyle w:val="EndnoteReference"/>
                <w:rFonts w:cs="Arial"/>
                <w:sz w:val="19"/>
              </w:rPr>
              <w:endnoteReference w:id="4"/>
            </w:r>
            <w:r w:rsidRPr="0096071F">
              <w:rPr>
                <w:rFonts w:cs="Arial"/>
                <w:sz w:val="19"/>
              </w:rPr>
              <w:t>. It is est</w:t>
            </w:r>
            <w:r w:rsidR="002457BA" w:rsidRPr="0096071F">
              <w:rPr>
                <w:rFonts w:cs="Arial"/>
                <w:sz w:val="19"/>
              </w:rPr>
              <w:t>imated that approximately US</w:t>
            </w:r>
            <w:r w:rsidR="001675EE" w:rsidRPr="0096071F">
              <w:rPr>
                <w:rFonts w:cs="Arial"/>
                <w:sz w:val="19"/>
              </w:rPr>
              <w:t>$</w:t>
            </w:r>
            <w:r w:rsidR="002457BA" w:rsidRPr="0096071F">
              <w:rPr>
                <w:rFonts w:cs="Arial"/>
                <w:sz w:val="19"/>
              </w:rPr>
              <w:t>1</w:t>
            </w:r>
            <w:r w:rsidR="00C10395" w:rsidRPr="0096071F">
              <w:rPr>
                <w:rFonts w:cs="Arial"/>
                <w:sz w:val="19"/>
              </w:rPr>
              <w:t>0</w:t>
            </w:r>
            <w:r w:rsidRPr="0096071F">
              <w:rPr>
                <w:rFonts w:cs="Arial"/>
                <w:sz w:val="19"/>
              </w:rPr>
              <w:t xml:space="preserve"> billion of </w:t>
            </w:r>
            <w:r w:rsidR="00C10395" w:rsidRPr="0096071F">
              <w:rPr>
                <w:rFonts w:cs="Arial"/>
                <w:sz w:val="19"/>
              </w:rPr>
              <w:t xml:space="preserve">government </w:t>
            </w:r>
            <w:r w:rsidR="002457BA" w:rsidRPr="0096071F">
              <w:rPr>
                <w:rFonts w:cs="Arial"/>
                <w:sz w:val="19"/>
              </w:rPr>
              <w:t>budgets</w:t>
            </w:r>
            <w:r w:rsidR="00C10395" w:rsidRPr="0096071F">
              <w:rPr>
                <w:rStyle w:val="EndnoteReference"/>
                <w:rFonts w:cs="Arial"/>
                <w:sz w:val="19"/>
              </w:rPr>
              <w:endnoteReference w:id="5"/>
            </w:r>
            <w:r w:rsidRPr="0096071F">
              <w:rPr>
                <w:rFonts w:cs="Arial"/>
                <w:sz w:val="19"/>
              </w:rPr>
              <w:t xml:space="preserve"> </w:t>
            </w:r>
            <w:r w:rsidR="00C10395" w:rsidRPr="0096071F">
              <w:rPr>
                <w:rFonts w:cs="Arial"/>
                <w:sz w:val="19"/>
              </w:rPr>
              <w:t>and US</w:t>
            </w:r>
            <w:r w:rsidR="001675EE" w:rsidRPr="0096071F">
              <w:rPr>
                <w:rFonts w:cs="Arial"/>
                <w:sz w:val="19"/>
              </w:rPr>
              <w:t>$</w:t>
            </w:r>
            <w:r w:rsidR="00C10395" w:rsidRPr="0096071F">
              <w:rPr>
                <w:rFonts w:cs="Arial"/>
                <w:sz w:val="19"/>
              </w:rPr>
              <w:t xml:space="preserve">2 billion of </w:t>
            </w:r>
            <w:r w:rsidR="002457BA" w:rsidRPr="0096071F">
              <w:rPr>
                <w:rFonts w:cs="Arial"/>
                <w:sz w:val="19"/>
              </w:rPr>
              <w:t>development</w:t>
            </w:r>
            <w:r w:rsidR="00C10395" w:rsidRPr="0096071F">
              <w:rPr>
                <w:rFonts w:cs="Arial"/>
                <w:sz w:val="19"/>
              </w:rPr>
              <w:t xml:space="preserve"> assistance </w:t>
            </w:r>
            <w:r w:rsidRPr="0096071F">
              <w:rPr>
                <w:rFonts w:cs="Arial"/>
                <w:sz w:val="19"/>
              </w:rPr>
              <w:t xml:space="preserve">are allocated to the forestry sector each year </w:t>
            </w:r>
            <w:r w:rsidR="00ED7C55" w:rsidRPr="0096071F">
              <w:rPr>
                <w:rFonts w:ascii="Courier New" w:hAnsi="Courier New" w:cs="Courier New"/>
                <w:sz w:val="19"/>
              </w:rPr>
              <w:t>-</w:t>
            </w:r>
            <w:r w:rsidRPr="0096071F">
              <w:rPr>
                <w:rFonts w:cs="Arial"/>
                <w:sz w:val="19"/>
              </w:rPr>
              <w:t xml:space="preserve"> but only a tiny fraction of this is spent on locally-controlled forestry. Public funding </w:t>
            </w:r>
            <w:r w:rsidR="000B4857" w:rsidRPr="0096071F">
              <w:rPr>
                <w:rFonts w:cs="Arial"/>
                <w:sz w:val="19"/>
              </w:rPr>
              <w:t xml:space="preserve">also </w:t>
            </w:r>
            <w:r w:rsidRPr="0096071F">
              <w:rPr>
                <w:rFonts w:cs="Arial"/>
                <w:sz w:val="19"/>
              </w:rPr>
              <w:t>remains overshadowed by the estimated US</w:t>
            </w:r>
            <w:r w:rsidR="001675EE" w:rsidRPr="0096071F">
              <w:rPr>
                <w:rFonts w:cs="Arial"/>
                <w:sz w:val="19"/>
              </w:rPr>
              <w:t>$</w:t>
            </w:r>
            <w:r w:rsidRPr="0096071F">
              <w:rPr>
                <w:rFonts w:cs="Arial"/>
                <w:sz w:val="19"/>
              </w:rPr>
              <w:t>150 billion which is currently injected into the commercial forest sector as part of private funding and mainstream institutional investment</w:t>
            </w:r>
            <w:r w:rsidRPr="0096071F">
              <w:rPr>
                <w:rStyle w:val="EndnoteReference"/>
                <w:rFonts w:cs="Arial"/>
                <w:sz w:val="19"/>
              </w:rPr>
              <w:endnoteReference w:id="6"/>
            </w:r>
            <w:r w:rsidRPr="0096071F">
              <w:rPr>
                <w:rFonts w:cs="Arial"/>
                <w:sz w:val="19"/>
              </w:rPr>
              <w:t>.</w:t>
            </w:r>
          </w:p>
          <w:p w:rsidR="0063186A" w:rsidRPr="0096071F" w:rsidRDefault="0063186A" w:rsidP="00BA7F39">
            <w:pPr>
              <w:spacing w:before="180" w:line="240" w:lineRule="atLeast"/>
              <w:rPr>
                <w:rFonts w:cs="Arial"/>
                <w:sz w:val="19"/>
              </w:rPr>
            </w:pPr>
            <w:r w:rsidRPr="0096071F">
              <w:rPr>
                <w:rFonts w:cs="Arial"/>
                <w:sz w:val="19"/>
              </w:rPr>
              <w:t xml:space="preserve">This omission affects a huge human population, and </w:t>
            </w:r>
            <w:r w:rsidR="005454AF" w:rsidRPr="0096071F">
              <w:rPr>
                <w:rFonts w:cs="Arial"/>
                <w:sz w:val="19"/>
              </w:rPr>
              <w:t xml:space="preserve">substantial </w:t>
            </w:r>
            <w:r w:rsidRPr="0096071F">
              <w:rPr>
                <w:rFonts w:cs="Arial"/>
                <w:sz w:val="19"/>
              </w:rPr>
              <w:t xml:space="preserve">areas of forests. Much of the world’s forest lies outside formally gazetted or commercially-run areas. It is managed by the people who live in and around it, many of them rural communities in developing countries. Locally-controlled forestry does not </w:t>
            </w:r>
            <w:r w:rsidR="002457BA" w:rsidRPr="0096071F">
              <w:rPr>
                <w:rFonts w:cs="Arial"/>
                <w:sz w:val="19"/>
              </w:rPr>
              <w:t>only</w:t>
            </w:r>
            <w:r w:rsidRPr="0096071F">
              <w:rPr>
                <w:rFonts w:cs="Arial"/>
                <w:sz w:val="19"/>
              </w:rPr>
              <w:t xml:space="preserve"> provide an important and cost-effective tool in the global fight against deforestation and forest degradation, but it can also act as a powerful engine for pro-poor economic growth. </w:t>
            </w:r>
          </w:p>
          <w:p w:rsidR="0063186A" w:rsidRPr="0096071F" w:rsidRDefault="0063186A" w:rsidP="00BA7F39">
            <w:pPr>
              <w:spacing w:before="180" w:line="240" w:lineRule="atLeast"/>
              <w:rPr>
                <w:rFonts w:cs="Arial"/>
                <w:sz w:val="19"/>
              </w:rPr>
            </w:pPr>
            <w:r w:rsidRPr="0096071F">
              <w:rPr>
                <w:rFonts w:cs="Arial"/>
                <w:sz w:val="19"/>
              </w:rPr>
              <w:t>Over the past 5 years, IUCN’s Livelihoods and Landscapes Strategy (LLS) has been demonstrating how management approaches that strengthen community rights and control over forests can leverage real and meaningful improvements in the livelihoods of the rural poor, enhance biodiversity conservation, and ensure the sustainable supply of forest goods and services. While LLS’s successes have mainly been achieved in individual landscapes where key legal, policy and governance barriers have been identified and removed, they have much broader applicability. Many other parts of the world face similar opportunities for catalysing economic growth through the identification and removal of barriers to locally-controlled forestry.</w:t>
            </w:r>
          </w:p>
          <w:p w:rsidR="006575EA" w:rsidRPr="0096071F" w:rsidRDefault="0063186A" w:rsidP="00BA7F39">
            <w:pPr>
              <w:spacing w:before="180" w:line="240" w:lineRule="atLeast"/>
              <w:rPr>
                <w:rFonts w:cs="Arial"/>
                <w:sz w:val="19"/>
              </w:rPr>
            </w:pPr>
            <w:r w:rsidRPr="0096071F">
              <w:rPr>
                <w:rFonts w:cs="Arial"/>
                <w:sz w:val="19"/>
              </w:rPr>
              <w:t xml:space="preserve">The aim of this paper is to show what might be the economic impacts, </w:t>
            </w:r>
            <w:r w:rsidR="002B6D02" w:rsidRPr="0096071F">
              <w:rPr>
                <w:rFonts w:cs="Arial"/>
                <w:sz w:val="19"/>
              </w:rPr>
              <w:t>were this to</w:t>
            </w:r>
            <w:r w:rsidRPr="0096071F">
              <w:rPr>
                <w:rFonts w:cs="Arial"/>
                <w:sz w:val="19"/>
              </w:rPr>
              <w:t xml:space="preserve"> happen. Specifically, it reviews existing forest use and management data in order to calculate the value of breaking down barriers to locally-controlled forestry in tropical and developing countries. </w:t>
            </w:r>
            <w:r w:rsidR="00787EDE" w:rsidRPr="0096071F">
              <w:rPr>
                <w:rFonts w:cs="Arial"/>
                <w:sz w:val="19"/>
              </w:rPr>
              <w:t>E</w:t>
            </w:r>
            <w:r w:rsidR="002457BA" w:rsidRPr="0096071F">
              <w:rPr>
                <w:rFonts w:cs="Arial"/>
                <w:sz w:val="19"/>
              </w:rPr>
              <w:t>xamples</w:t>
            </w:r>
            <w:r w:rsidR="00ED7C55" w:rsidRPr="0096071F">
              <w:rPr>
                <w:rFonts w:cs="Arial"/>
                <w:sz w:val="19"/>
              </w:rPr>
              <w:t xml:space="preserve"> are provided from the landscapes and countries in which LLS has been working, and these figures are scaled up to provide estimates of the kinds of values that could potentially be generated should such an approach be applied more widely.</w:t>
            </w:r>
            <w:r w:rsidR="006575EA" w:rsidRPr="0096071F">
              <w:rPr>
                <w:rFonts w:cs="Arial"/>
                <w:sz w:val="19"/>
              </w:rPr>
              <w:t xml:space="preserve"> </w:t>
            </w:r>
          </w:p>
          <w:p w:rsidR="0063186A" w:rsidRPr="0096071F" w:rsidRDefault="006575EA" w:rsidP="00BA7F39">
            <w:pPr>
              <w:spacing w:before="180" w:line="240" w:lineRule="atLeast"/>
              <w:rPr>
                <w:rFonts w:cs="Arial"/>
                <w:sz w:val="19"/>
              </w:rPr>
            </w:pPr>
            <w:r w:rsidRPr="0096071F">
              <w:rPr>
                <w:rFonts w:cs="Arial"/>
                <w:sz w:val="19"/>
              </w:rPr>
              <w:t xml:space="preserve">It is worth noting that the quality and accuracy of available data on forest areas, dependency and values vary widely </w:t>
            </w:r>
            <w:r w:rsidRPr="0096071F">
              <w:rPr>
                <w:rFonts w:ascii="Courier New" w:hAnsi="Courier New" w:cs="Courier New"/>
                <w:sz w:val="19"/>
              </w:rPr>
              <w:t>-</w:t>
            </w:r>
            <w:r w:rsidR="007B46DF">
              <w:rPr>
                <w:rFonts w:ascii="Courier New" w:hAnsi="Courier New" w:cs="Courier New"/>
                <w:sz w:val="19"/>
              </w:rPr>
              <w:t xml:space="preserve"> </w:t>
            </w:r>
            <w:r w:rsidRPr="0096071F">
              <w:rPr>
                <w:rFonts w:cs="Arial"/>
                <w:sz w:val="19"/>
              </w:rPr>
              <w:t xml:space="preserve">unfortunately, and as has been pointed out by </w:t>
            </w:r>
            <w:r w:rsidR="007B46DF">
              <w:rPr>
                <w:rFonts w:cs="Arial"/>
                <w:sz w:val="19"/>
              </w:rPr>
              <w:t xml:space="preserve">various </w:t>
            </w:r>
            <w:r w:rsidRPr="0096071F">
              <w:rPr>
                <w:rFonts w:cs="Arial"/>
                <w:sz w:val="19"/>
              </w:rPr>
              <w:t>other authors, it is a characteristic of many of the global and regional estimates currently in circulation that data sources are not provided, or, where sources are shown they are 'guesstimates' or ‘back-of-the envelope’ calculations</w:t>
            </w:r>
            <w:r w:rsidR="009B7614">
              <w:rPr>
                <w:rStyle w:val="EndnoteReference"/>
                <w:rFonts w:cs="Arial"/>
                <w:sz w:val="19"/>
              </w:rPr>
              <w:endnoteReference w:id="7"/>
            </w:r>
            <w:r w:rsidRPr="0096071F">
              <w:rPr>
                <w:rFonts w:cs="Arial"/>
                <w:sz w:val="19"/>
              </w:rPr>
              <w:t>. As interesting (and hopefully useful) as these aggregate numbers are, the reader must always bear in mind that such figures will inevitably mask some important elements of forest values, and over-simplify the complex relationships at play when looking at people’s livelihoods in relation to their access, rights and control over forests</w:t>
            </w:r>
            <w:r w:rsidR="009B7614">
              <w:rPr>
                <w:rStyle w:val="EndnoteReference"/>
                <w:rFonts w:cs="Arial"/>
                <w:sz w:val="19"/>
              </w:rPr>
              <w:endnoteReference w:id="8"/>
            </w:r>
            <w:r w:rsidRPr="0096071F">
              <w:rPr>
                <w:rFonts w:cs="Arial"/>
                <w:sz w:val="19"/>
              </w:rPr>
              <w:t>. The figures presented in this paper must be understood subject to these caveats</w:t>
            </w:r>
            <w:r w:rsidR="00373683" w:rsidRPr="0096071F">
              <w:rPr>
                <w:rFonts w:cs="Arial"/>
                <w:sz w:val="19"/>
              </w:rPr>
              <w:t xml:space="preserve"> and limitations</w:t>
            </w:r>
            <w:r w:rsidRPr="0096071F">
              <w:rPr>
                <w:rFonts w:cs="Arial"/>
                <w:sz w:val="19"/>
              </w:rPr>
              <w:t>.</w:t>
            </w:r>
          </w:p>
          <w:p w:rsidR="0063186A" w:rsidRPr="00C753C8" w:rsidRDefault="00BA7F39" w:rsidP="00BA7F39">
            <w:pPr>
              <w:spacing w:before="180" w:after="100" w:line="240" w:lineRule="atLeast"/>
            </w:pPr>
            <w:r w:rsidRPr="0096071F">
              <w:rPr>
                <w:rFonts w:cs="Arial"/>
                <w:sz w:val="19"/>
              </w:rPr>
              <w:t>The data present a clear message. L</w:t>
            </w:r>
            <w:r w:rsidR="0063186A" w:rsidRPr="0096071F">
              <w:rPr>
                <w:rFonts w:cs="Arial"/>
                <w:sz w:val="19"/>
              </w:rPr>
              <w:t xml:space="preserve">ocally-controlled forest management is a </w:t>
            </w:r>
            <w:r w:rsidR="000B4857" w:rsidRPr="0096071F">
              <w:rPr>
                <w:rFonts w:cs="Arial"/>
                <w:sz w:val="19"/>
              </w:rPr>
              <w:t xml:space="preserve">highly </w:t>
            </w:r>
            <w:r w:rsidR="0063186A" w:rsidRPr="0096071F">
              <w:rPr>
                <w:rFonts w:cs="Arial"/>
                <w:sz w:val="19"/>
              </w:rPr>
              <w:t>profitable public investment and development assistance option, as it can secure values that are essential to more equitable and sustained economic growth at local, national and even global levels. In contrast, failing to do so may ultimately undermine many of the goals that so many public funds, efforts and time are being channelled into: reducing poverty, and providing cost-effective, equitable and sustainable development for all.</w:t>
            </w:r>
          </w:p>
        </w:tc>
      </w:tr>
    </w:tbl>
    <w:p w:rsidR="005D2A53" w:rsidRPr="00CA2587" w:rsidRDefault="005D2A53" w:rsidP="001675EE">
      <w:pPr>
        <w:pStyle w:val="Heading1"/>
        <w:spacing w:line="280" w:lineRule="atLeast"/>
      </w:pPr>
      <w:r w:rsidRPr="00CA2587">
        <w:t>Who and what is affected?</w:t>
      </w:r>
    </w:p>
    <w:p w:rsidR="005D2A53" w:rsidRPr="00CA2587" w:rsidRDefault="005D2A53" w:rsidP="001675EE">
      <w:pPr>
        <w:pStyle w:val="Heading1"/>
        <w:spacing w:line="280" w:lineRule="atLeast"/>
        <w:sectPr w:rsidR="005D2A53" w:rsidRPr="00CA2587" w:rsidSect="005D2A53">
          <w:headerReference w:type="even" r:id="rId14"/>
          <w:headerReference w:type="default" r:id="rId15"/>
          <w:footerReference w:type="default" r:id="rId16"/>
          <w:headerReference w:type="first" r:id="rId17"/>
          <w:footerReference w:type="first" r:id="rId18"/>
          <w:endnotePr>
            <w:numFmt w:val="decimal"/>
          </w:endnotePr>
          <w:pgSz w:w="11906" w:h="16838" w:code="9"/>
          <w:pgMar w:top="1134" w:right="1134" w:bottom="1134" w:left="1134" w:header="567" w:footer="567" w:gutter="0"/>
          <w:cols w:space="708"/>
          <w:docGrid w:linePitch="360"/>
        </w:sectPr>
      </w:pPr>
    </w:p>
    <w:p w:rsidR="005D2A53" w:rsidRPr="00D86DFF" w:rsidRDefault="00D31861" w:rsidP="001675EE">
      <w:pPr>
        <w:spacing w:line="280" w:lineRule="atLeast"/>
        <w:rPr>
          <w:sz w:val="19"/>
        </w:rPr>
      </w:pPr>
      <w:r w:rsidRPr="00D86DFF">
        <w:rPr>
          <w:rFonts w:cs="Arial"/>
          <w:sz w:val="19"/>
          <w:szCs w:val="20"/>
        </w:rPr>
        <w:t xml:space="preserve">A first important set of </w:t>
      </w:r>
      <w:r w:rsidR="005D2A53" w:rsidRPr="00D86DFF">
        <w:rPr>
          <w:rFonts w:cs="Arial"/>
          <w:sz w:val="19"/>
          <w:szCs w:val="20"/>
        </w:rPr>
        <w:t>question</w:t>
      </w:r>
      <w:r w:rsidRPr="00D86DFF">
        <w:rPr>
          <w:rFonts w:cs="Arial"/>
          <w:sz w:val="19"/>
          <w:szCs w:val="20"/>
        </w:rPr>
        <w:t>s</w:t>
      </w:r>
      <w:r w:rsidR="005D2A53" w:rsidRPr="00D86DFF">
        <w:rPr>
          <w:rFonts w:cs="Arial"/>
          <w:sz w:val="19"/>
          <w:szCs w:val="20"/>
        </w:rPr>
        <w:t xml:space="preserve"> to ask is</w:t>
      </w:r>
      <w:r w:rsidR="00520053" w:rsidRPr="00D86DFF">
        <w:rPr>
          <w:rFonts w:cs="Arial"/>
          <w:sz w:val="19"/>
          <w:szCs w:val="20"/>
        </w:rPr>
        <w:t>:</w:t>
      </w:r>
      <w:r w:rsidR="005D2A53" w:rsidRPr="00D86DFF">
        <w:rPr>
          <w:rFonts w:cs="Arial"/>
          <w:sz w:val="19"/>
          <w:szCs w:val="20"/>
        </w:rPr>
        <w:t xml:space="preserve"> </w:t>
      </w:r>
      <w:r w:rsidR="00520053" w:rsidRPr="00D86DFF">
        <w:rPr>
          <w:rFonts w:cs="Arial"/>
          <w:sz w:val="19"/>
          <w:szCs w:val="20"/>
        </w:rPr>
        <w:t>what area of forest is</w:t>
      </w:r>
      <w:r w:rsidR="002457BA">
        <w:rPr>
          <w:rFonts w:cs="Arial"/>
          <w:sz w:val="19"/>
          <w:szCs w:val="20"/>
        </w:rPr>
        <w:t xml:space="preserve"> (or could be)</w:t>
      </w:r>
      <w:r w:rsidR="00520053" w:rsidRPr="00D86DFF">
        <w:rPr>
          <w:rFonts w:cs="Arial"/>
          <w:sz w:val="19"/>
          <w:szCs w:val="20"/>
        </w:rPr>
        <w:t xml:space="preserve"> under locally-controlled forest management, </w:t>
      </w:r>
      <w:r w:rsidRPr="00D86DFF">
        <w:rPr>
          <w:rFonts w:cs="Arial"/>
          <w:sz w:val="19"/>
          <w:szCs w:val="20"/>
        </w:rPr>
        <w:t xml:space="preserve">how much is being affected by legal, policy and governance barriers, </w:t>
      </w:r>
      <w:r w:rsidR="00520053" w:rsidRPr="00D86DFF">
        <w:rPr>
          <w:rFonts w:cs="Arial"/>
          <w:sz w:val="19"/>
          <w:szCs w:val="20"/>
        </w:rPr>
        <w:t>and how many people are involved?</w:t>
      </w:r>
      <w:r w:rsidR="005D2A53" w:rsidRPr="00D86DFF">
        <w:rPr>
          <w:sz w:val="19"/>
        </w:rPr>
        <w:t xml:space="preserve"> </w:t>
      </w:r>
    </w:p>
    <w:p w:rsidR="005D2A53" w:rsidRPr="00D86DFF" w:rsidRDefault="005D2A53" w:rsidP="001675EE">
      <w:pPr>
        <w:spacing w:line="280" w:lineRule="atLeast"/>
        <w:rPr>
          <w:sz w:val="19"/>
        </w:rPr>
      </w:pPr>
    </w:p>
    <w:p w:rsidR="00712831" w:rsidRDefault="005D2A53" w:rsidP="001675EE">
      <w:pPr>
        <w:spacing w:line="280" w:lineRule="atLeast"/>
        <w:rPr>
          <w:rFonts w:cs="Arial"/>
          <w:sz w:val="19"/>
        </w:rPr>
      </w:pPr>
      <w:r w:rsidRPr="00D86DFF">
        <w:rPr>
          <w:sz w:val="19"/>
        </w:rPr>
        <w:t>Last year’s Global Forest Resources Assessment indicate</w:t>
      </w:r>
      <w:r w:rsidR="00520053" w:rsidRPr="00D86DFF">
        <w:rPr>
          <w:sz w:val="19"/>
        </w:rPr>
        <w:t>d</w:t>
      </w:r>
      <w:r w:rsidRPr="00D86DFF">
        <w:rPr>
          <w:sz w:val="19"/>
        </w:rPr>
        <w:t xml:space="preserve"> that </w:t>
      </w:r>
      <w:r w:rsidRPr="00D86DFF">
        <w:rPr>
          <w:rFonts w:cs="Arial"/>
          <w:sz w:val="19"/>
        </w:rPr>
        <w:t>ownership and management of forests by communities, individuals and private companies is on the rise</w:t>
      </w:r>
      <w:r w:rsidRPr="00D86DFF">
        <w:rPr>
          <w:rStyle w:val="EndnoteReference"/>
          <w:rFonts w:cs="Arial"/>
          <w:sz w:val="19"/>
        </w:rPr>
        <w:endnoteReference w:id="9"/>
      </w:r>
      <w:r w:rsidRPr="00D86DFF">
        <w:rPr>
          <w:rFonts w:cs="Arial"/>
          <w:sz w:val="19"/>
        </w:rPr>
        <w:t>. More than 400 million hectares</w:t>
      </w:r>
      <w:r w:rsidR="000B4857">
        <w:rPr>
          <w:rFonts w:cs="Arial"/>
          <w:sz w:val="19"/>
        </w:rPr>
        <w:t xml:space="preserve"> of forest and woodland</w:t>
      </w:r>
      <w:r w:rsidRPr="00D86DFF">
        <w:rPr>
          <w:rFonts w:cs="Arial"/>
          <w:sz w:val="19"/>
        </w:rPr>
        <w:t xml:space="preserve"> in the developing world</w:t>
      </w:r>
      <w:r w:rsidRPr="00D86DFF">
        <w:rPr>
          <w:rStyle w:val="EndnoteReference"/>
          <w:rFonts w:cs="Arial"/>
          <w:sz w:val="19"/>
          <w:szCs w:val="20"/>
        </w:rPr>
        <w:endnoteReference w:id="10"/>
      </w:r>
      <w:r w:rsidRPr="00D86DFF">
        <w:rPr>
          <w:rFonts w:cs="Arial"/>
          <w:sz w:val="19"/>
        </w:rPr>
        <w:t xml:space="preserve"> is now believed to be owned, administered or actively managed by communities</w:t>
      </w:r>
      <w:r w:rsidRPr="00D86DFF">
        <w:rPr>
          <w:rStyle w:val="EndnoteReference"/>
          <w:rFonts w:cs="Arial"/>
          <w:sz w:val="19"/>
        </w:rPr>
        <w:endnoteReference w:id="11"/>
      </w:r>
      <w:r w:rsidRPr="00D86DFF">
        <w:rPr>
          <w:rFonts w:cs="Arial"/>
          <w:sz w:val="19"/>
        </w:rPr>
        <w:t>, comprising around 25% of total forestland in those countries. Progress in transferring these rights is however slow. Only about 47% of the legal rights over forests that are owned by or reserved for communities and indigenous groups have been transferred and formally placed under their management</w:t>
      </w:r>
      <w:r w:rsidRPr="00D86DFF">
        <w:rPr>
          <w:rStyle w:val="EndnoteReference"/>
          <w:rFonts w:cs="Arial"/>
          <w:sz w:val="19"/>
        </w:rPr>
        <w:endnoteReference w:id="12"/>
      </w:r>
      <w:r w:rsidRPr="00D86DFF">
        <w:rPr>
          <w:rFonts w:cs="Arial"/>
          <w:sz w:val="19"/>
        </w:rPr>
        <w:t xml:space="preserve">. </w:t>
      </w:r>
    </w:p>
    <w:p w:rsidR="00712831" w:rsidRDefault="00712831" w:rsidP="001675EE">
      <w:pPr>
        <w:spacing w:line="280" w:lineRule="atLeast"/>
        <w:rPr>
          <w:rFonts w:cs="Arial"/>
          <w:sz w:val="19"/>
        </w:rPr>
      </w:pPr>
    </w:p>
    <w:p w:rsidR="00D31861" w:rsidRPr="00ED7C55" w:rsidRDefault="00712831" w:rsidP="001675EE">
      <w:pPr>
        <w:spacing w:line="280" w:lineRule="atLeast"/>
      </w:pPr>
      <w:r w:rsidRPr="00ED7C55">
        <w:rPr>
          <w:rFonts w:cs="Arial"/>
          <w:sz w:val="19"/>
        </w:rPr>
        <w:t>It is also important to note that th</w:t>
      </w:r>
      <w:r w:rsidR="002457BA">
        <w:rPr>
          <w:rFonts w:cs="Arial"/>
          <w:sz w:val="19"/>
        </w:rPr>
        <w:t xml:space="preserve">is </w:t>
      </w:r>
      <w:r w:rsidR="000B4857">
        <w:rPr>
          <w:rFonts w:cs="Arial"/>
          <w:sz w:val="19"/>
        </w:rPr>
        <w:t xml:space="preserve">figure undoubtedly </w:t>
      </w:r>
      <w:r w:rsidRPr="00ED7C55">
        <w:rPr>
          <w:rFonts w:cs="Arial"/>
          <w:sz w:val="19"/>
        </w:rPr>
        <w:t>under-estimate</w:t>
      </w:r>
      <w:r w:rsidR="002457BA">
        <w:rPr>
          <w:rFonts w:cs="Arial"/>
          <w:sz w:val="19"/>
        </w:rPr>
        <w:t>s</w:t>
      </w:r>
      <w:r w:rsidRPr="00ED7C55">
        <w:rPr>
          <w:rFonts w:cs="Arial"/>
          <w:sz w:val="19"/>
        </w:rPr>
        <w:t xml:space="preserve"> greatly the amount of forest land which</w:t>
      </w:r>
      <w:r w:rsidR="002457BA">
        <w:rPr>
          <w:rFonts w:cs="Arial"/>
          <w:sz w:val="19"/>
        </w:rPr>
        <w:t>,</w:t>
      </w:r>
      <w:r w:rsidRPr="00ED7C55">
        <w:rPr>
          <w:rFonts w:cs="Arial"/>
          <w:sz w:val="19"/>
        </w:rPr>
        <w:t xml:space="preserve"> actually or potentially</w:t>
      </w:r>
      <w:r w:rsidR="002457BA">
        <w:rPr>
          <w:rFonts w:cs="Arial"/>
          <w:sz w:val="19"/>
        </w:rPr>
        <w:t>,</w:t>
      </w:r>
      <w:r w:rsidRPr="00ED7C55">
        <w:rPr>
          <w:rFonts w:cs="Arial"/>
          <w:sz w:val="19"/>
        </w:rPr>
        <w:t xml:space="preserve"> could be under locally-controlled management. </w:t>
      </w:r>
      <w:r w:rsidR="002457BA">
        <w:rPr>
          <w:rFonts w:cs="Arial"/>
          <w:sz w:val="19"/>
        </w:rPr>
        <w:t>There are l</w:t>
      </w:r>
      <w:r w:rsidRPr="00ED7C55">
        <w:rPr>
          <w:rFonts w:cs="Arial"/>
          <w:sz w:val="19"/>
        </w:rPr>
        <w:t xml:space="preserve">arge areas of land </w:t>
      </w:r>
      <w:r w:rsidR="002457BA">
        <w:rPr>
          <w:rFonts w:cs="Arial"/>
          <w:sz w:val="19"/>
        </w:rPr>
        <w:t xml:space="preserve">which are recorded as being </w:t>
      </w:r>
      <w:r w:rsidRPr="00ED7C55">
        <w:rPr>
          <w:rFonts w:cs="Arial"/>
          <w:sz w:val="19"/>
        </w:rPr>
        <w:t xml:space="preserve">under state jurisdiction or </w:t>
      </w:r>
      <w:r w:rsidR="002457BA">
        <w:rPr>
          <w:rFonts w:cs="Arial"/>
          <w:sz w:val="19"/>
        </w:rPr>
        <w:t xml:space="preserve">as leased </w:t>
      </w:r>
      <w:r w:rsidRPr="00ED7C55">
        <w:rPr>
          <w:rFonts w:cs="Arial"/>
          <w:sz w:val="19"/>
        </w:rPr>
        <w:t>to the private sector for which customary property rights have not actually been formally extinguished, or where customary rights have not been recognised</w:t>
      </w:r>
      <w:r w:rsidRPr="00ED7C55">
        <w:rPr>
          <w:rStyle w:val="EndnoteReference"/>
          <w:rFonts w:cs="Arial"/>
          <w:sz w:val="19"/>
        </w:rPr>
        <w:endnoteReference w:id="13"/>
      </w:r>
      <w:r w:rsidRPr="00ED7C55">
        <w:rPr>
          <w:rFonts w:cs="Arial"/>
          <w:sz w:val="19"/>
        </w:rPr>
        <w:t xml:space="preserve">. It </w:t>
      </w:r>
      <w:r w:rsidR="000B4857">
        <w:rPr>
          <w:rFonts w:cs="Arial"/>
          <w:sz w:val="19"/>
        </w:rPr>
        <w:t>is</w:t>
      </w:r>
      <w:r w:rsidRPr="00ED7C55">
        <w:rPr>
          <w:rFonts w:cs="Arial"/>
          <w:sz w:val="19"/>
        </w:rPr>
        <w:t xml:space="preserve"> suggested that a more realistic figure for the </w:t>
      </w:r>
      <w:r w:rsidR="00ED7C55" w:rsidRPr="00ED7C55">
        <w:rPr>
          <w:rFonts w:cs="Arial"/>
          <w:sz w:val="19"/>
        </w:rPr>
        <w:t xml:space="preserve">maximum </w:t>
      </w:r>
      <w:r w:rsidRPr="00ED7C55">
        <w:rPr>
          <w:rFonts w:cs="Arial"/>
          <w:sz w:val="19"/>
        </w:rPr>
        <w:t>global extent of communal forestry and woodland assets may be something in the region</w:t>
      </w:r>
      <w:r w:rsidR="00ED7C55">
        <w:rPr>
          <w:rFonts w:cs="Arial"/>
          <w:sz w:val="19"/>
        </w:rPr>
        <w:t xml:space="preserve"> </w:t>
      </w:r>
      <w:r w:rsidRPr="00ED7C55">
        <w:rPr>
          <w:rFonts w:cs="Arial"/>
          <w:sz w:val="19"/>
        </w:rPr>
        <w:t xml:space="preserve">of </w:t>
      </w:r>
      <w:r w:rsidR="00ED7C55" w:rsidRPr="00ED7C55">
        <w:rPr>
          <w:rFonts w:cs="Arial"/>
          <w:sz w:val="19"/>
        </w:rPr>
        <w:t>3.3 billion hectares</w:t>
      </w:r>
      <w:r w:rsidR="00ED7C55">
        <w:rPr>
          <w:rStyle w:val="EndnoteReference"/>
          <w:rFonts w:cs="Arial"/>
          <w:sz w:val="19"/>
        </w:rPr>
        <w:endnoteReference w:id="14"/>
      </w:r>
      <w:r w:rsidR="00ED7C55">
        <w:rPr>
          <w:rFonts w:cs="Arial"/>
          <w:sz w:val="19"/>
        </w:rPr>
        <w:t>. Not all of these “commons”, are, however, community-owned</w:t>
      </w:r>
      <w:r w:rsidR="00ED7C55" w:rsidRPr="00ED7C55">
        <w:t>.</w:t>
      </w:r>
    </w:p>
    <w:p w:rsidR="00D31861" w:rsidRPr="00D86DFF" w:rsidRDefault="00D31861" w:rsidP="001675EE">
      <w:pPr>
        <w:spacing w:line="280" w:lineRule="atLeast"/>
        <w:rPr>
          <w:rFonts w:cs="Arial"/>
          <w:sz w:val="19"/>
        </w:rPr>
      </w:pPr>
    </w:p>
    <w:p w:rsidR="005D2A53" w:rsidRDefault="005D2A53" w:rsidP="001675EE">
      <w:pPr>
        <w:spacing w:line="280" w:lineRule="atLeast"/>
        <w:rPr>
          <w:rFonts w:cs="Arial"/>
          <w:sz w:val="19"/>
        </w:rPr>
      </w:pPr>
      <w:r w:rsidRPr="00D86DFF">
        <w:rPr>
          <w:rFonts w:cs="Arial"/>
          <w:sz w:val="19"/>
        </w:rPr>
        <w:t xml:space="preserve">In addition, there are </w:t>
      </w:r>
      <w:r w:rsidR="002457BA">
        <w:rPr>
          <w:rFonts w:cs="Arial"/>
          <w:sz w:val="19"/>
        </w:rPr>
        <w:t>vast</w:t>
      </w:r>
      <w:r w:rsidRPr="00D86DFF">
        <w:rPr>
          <w:rFonts w:cs="Arial"/>
          <w:sz w:val="19"/>
        </w:rPr>
        <w:t xml:space="preserve"> areas of currently deforested or degraded landscapes which offer opportunities for forest landscape restoration. </w:t>
      </w:r>
      <w:r w:rsidR="00D31861" w:rsidRPr="00D86DFF">
        <w:rPr>
          <w:rFonts w:cs="Arial"/>
          <w:sz w:val="19"/>
        </w:rPr>
        <w:t xml:space="preserve">Many of these are hindered by a lack of investment funds or by unclear rights for local land and resource users to benefit. </w:t>
      </w:r>
      <w:r w:rsidRPr="00D86DFF">
        <w:rPr>
          <w:rFonts w:cs="Arial"/>
          <w:sz w:val="19"/>
        </w:rPr>
        <w:t>Of a total of 1.5 billion hectares</w:t>
      </w:r>
      <w:r w:rsidR="00D31861" w:rsidRPr="00D86DFF">
        <w:rPr>
          <w:rFonts w:cs="Arial"/>
          <w:sz w:val="19"/>
        </w:rPr>
        <w:t xml:space="preserve"> of potentially restorable </w:t>
      </w:r>
      <w:r w:rsidR="005B237A" w:rsidRPr="00D86DFF">
        <w:rPr>
          <w:rFonts w:cs="Arial"/>
          <w:sz w:val="19"/>
        </w:rPr>
        <w:t xml:space="preserve">forest </w:t>
      </w:r>
      <w:r w:rsidR="00D31861" w:rsidRPr="00D86DFF">
        <w:rPr>
          <w:rFonts w:cs="Arial"/>
          <w:sz w:val="19"/>
        </w:rPr>
        <w:t>landscapes</w:t>
      </w:r>
      <w:r w:rsidR="002457BA">
        <w:rPr>
          <w:rFonts w:cs="Arial"/>
          <w:sz w:val="19"/>
        </w:rPr>
        <w:t xml:space="preserve">, almost 90% or 1.35 </w:t>
      </w:r>
      <w:r w:rsidRPr="00D86DFF">
        <w:rPr>
          <w:rFonts w:cs="Arial"/>
          <w:sz w:val="19"/>
        </w:rPr>
        <w:t>billion hectares comprise areas which also include other land uses such as agriculture, and are considered suitable for mosaic restoration, potentially by local communities and landowners</w:t>
      </w:r>
      <w:r w:rsidRPr="00D86DFF">
        <w:rPr>
          <w:rStyle w:val="EndnoteReference"/>
          <w:rFonts w:cs="Arial"/>
          <w:sz w:val="19"/>
        </w:rPr>
        <w:endnoteReference w:id="15"/>
      </w:r>
      <w:r w:rsidRPr="00D86DFF">
        <w:rPr>
          <w:rFonts w:cs="Arial"/>
          <w:sz w:val="19"/>
        </w:rPr>
        <w:t>.</w:t>
      </w:r>
      <w:r w:rsidR="009B7614">
        <w:rPr>
          <w:rFonts w:cs="Arial"/>
          <w:sz w:val="19"/>
        </w:rPr>
        <w:t xml:space="preserve"> </w:t>
      </w:r>
      <w:r w:rsidR="009B7614" w:rsidRPr="009B7614">
        <w:rPr>
          <w:rFonts w:cs="Arial"/>
          <w:sz w:val="19"/>
        </w:rPr>
        <w:t>The value of these lands for climate change adaptation and mitigation cannot be understated.</w:t>
      </w:r>
    </w:p>
    <w:p w:rsidR="00712831" w:rsidRPr="00D86DFF" w:rsidRDefault="00712831" w:rsidP="001675EE">
      <w:pPr>
        <w:spacing w:line="280" w:lineRule="atLeast"/>
        <w:rPr>
          <w:rFonts w:cs="Arial"/>
          <w:sz w:val="19"/>
        </w:rPr>
      </w:pPr>
    </w:p>
    <w:p w:rsidR="00D31861" w:rsidRPr="00D86DFF" w:rsidRDefault="005D2A53" w:rsidP="001675EE">
      <w:pPr>
        <w:spacing w:line="280" w:lineRule="atLeast"/>
        <w:rPr>
          <w:rFonts w:cs="Arial"/>
          <w:sz w:val="19"/>
          <w:szCs w:val="20"/>
        </w:rPr>
      </w:pPr>
      <w:r w:rsidRPr="00D86DFF">
        <w:rPr>
          <w:sz w:val="19"/>
        </w:rPr>
        <w:t xml:space="preserve">A </w:t>
      </w:r>
      <w:r w:rsidR="00CA5B92" w:rsidRPr="00D86DFF">
        <w:rPr>
          <w:rFonts w:cs="Arial"/>
          <w:sz w:val="19"/>
          <w:szCs w:val="20"/>
        </w:rPr>
        <w:t xml:space="preserve">very large </w:t>
      </w:r>
      <w:r w:rsidR="00D31861" w:rsidRPr="00D86DFF">
        <w:rPr>
          <w:rFonts w:cs="Arial"/>
          <w:sz w:val="19"/>
          <w:szCs w:val="20"/>
        </w:rPr>
        <w:t xml:space="preserve">human population </w:t>
      </w:r>
      <w:r w:rsidRPr="00D86DFF">
        <w:rPr>
          <w:rFonts w:cs="Arial"/>
          <w:sz w:val="19"/>
          <w:szCs w:val="20"/>
        </w:rPr>
        <w:t>rel</w:t>
      </w:r>
      <w:r w:rsidR="00D31861" w:rsidRPr="00D86DFF">
        <w:rPr>
          <w:rFonts w:cs="Arial"/>
          <w:sz w:val="19"/>
          <w:szCs w:val="20"/>
        </w:rPr>
        <w:t>ies</w:t>
      </w:r>
      <w:r w:rsidRPr="00D86DFF">
        <w:rPr>
          <w:rFonts w:cs="Arial"/>
          <w:sz w:val="19"/>
          <w:szCs w:val="20"/>
        </w:rPr>
        <w:t xml:space="preserve"> on forest goods and services for their livelihoods, and yet lack</w:t>
      </w:r>
      <w:r w:rsidR="00D31861" w:rsidRPr="00D86DFF">
        <w:rPr>
          <w:rFonts w:cs="Arial"/>
          <w:sz w:val="19"/>
          <w:szCs w:val="20"/>
        </w:rPr>
        <w:t>s</w:t>
      </w:r>
      <w:r w:rsidRPr="00D86DFF">
        <w:rPr>
          <w:rFonts w:cs="Arial"/>
          <w:sz w:val="19"/>
          <w:szCs w:val="20"/>
        </w:rPr>
        <w:t xml:space="preserve"> adequate access, rights and control over the forests that are local to them</w:t>
      </w:r>
      <w:r w:rsidRPr="00D86DFF">
        <w:rPr>
          <w:rStyle w:val="EndnoteReference"/>
          <w:rFonts w:cs="Arial"/>
          <w:sz w:val="19"/>
          <w:szCs w:val="20"/>
        </w:rPr>
        <w:endnoteReference w:id="16"/>
      </w:r>
      <w:r w:rsidRPr="00D86DFF">
        <w:rPr>
          <w:rFonts w:cs="Arial"/>
          <w:sz w:val="19"/>
          <w:szCs w:val="20"/>
        </w:rPr>
        <w:t>. The most comprehensive and widely-accepted estimates suggest that in total more than 1.6 billion people depend in some way on forests for their livelihoods</w:t>
      </w:r>
      <w:r w:rsidRPr="00D86DFF">
        <w:rPr>
          <w:rStyle w:val="EndnoteReference"/>
          <w:rFonts w:cs="Arial"/>
          <w:sz w:val="19"/>
          <w:szCs w:val="20"/>
        </w:rPr>
        <w:endnoteReference w:id="17"/>
      </w:r>
      <w:r w:rsidR="002457BA">
        <w:rPr>
          <w:rFonts w:cs="Arial"/>
          <w:sz w:val="19"/>
          <w:szCs w:val="20"/>
        </w:rPr>
        <w:t>.</w:t>
      </w:r>
    </w:p>
    <w:p w:rsidR="00D31861" w:rsidRPr="00D86DFF" w:rsidRDefault="00D31861" w:rsidP="001675EE">
      <w:pPr>
        <w:spacing w:line="280" w:lineRule="atLeast"/>
        <w:rPr>
          <w:rFonts w:cs="Arial"/>
          <w:sz w:val="19"/>
          <w:szCs w:val="20"/>
        </w:rPr>
      </w:pPr>
    </w:p>
    <w:p w:rsidR="005D2A53" w:rsidRPr="00D86DFF" w:rsidRDefault="005D2A53" w:rsidP="001675EE">
      <w:pPr>
        <w:spacing w:line="280" w:lineRule="atLeast"/>
        <w:rPr>
          <w:rFonts w:cs="Arial"/>
          <w:sz w:val="19"/>
          <w:szCs w:val="20"/>
        </w:rPr>
      </w:pPr>
      <w:r w:rsidRPr="00D86DFF">
        <w:rPr>
          <w:rFonts w:cs="Arial"/>
          <w:sz w:val="19"/>
          <w:szCs w:val="20"/>
        </w:rPr>
        <w:t xml:space="preserve">The majority </w:t>
      </w:r>
      <w:r w:rsidR="00D31861" w:rsidRPr="00D86DFF">
        <w:rPr>
          <w:rFonts w:cs="Arial"/>
          <w:sz w:val="19"/>
          <w:szCs w:val="20"/>
        </w:rPr>
        <w:t xml:space="preserve">of forest-dependent </w:t>
      </w:r>
      <w:r w:rsidR="00CA5B92" w:rsidRPr="00D86DFF">
        <w:rPr>
          <w:rFonts w:cs="Arial"/>
          <w:sz w:val="19"/>
          <w:szCs w:val="20"/>
        </w:rPr>
        <w:t xml:space="preserve">people </w:t>
      </w:r>
      <w:r w:rsidRPr="00D86DFF">
        <w:rPr>
          <w:rFonts w:cs="Arial"/>
          <w:sz w:val="19"/>
          <w:szCs w:val="20"/>
        </w:rPr>
        <w:t>live in the developing world, including 1.4 billion poor (of whom almost 1 billion who live in extreme poverty</w:t>
      </w:r>
      <w:r w:rsidRPr="00D86DFF">
        <w:rPr>
          <w:rStyle w:val="EndnoteReference"/>
          <w:rFonts w:cs="Arial"/>
          <w:sz w:val="19"/>
          <w:szCs w:val="20"/>
        </w:rPr>
        <w:endnoteReference w:id="18"/>
      </w:r>
      <w:r w:rsidRPr="00D86DFF">
        <w:rPr>
          <w:rFonts w:cs="Arial"/>
          <w:sz w:val="19"/>
          <w:szCs w:val="20"/>
        </w:rPr>
        <w:t>), between 60-100 million members of indigenous groups who are almost wholly reliant on forests</w:t>
      </w:r>
      <w:r w:rsidRPr="00D86DFF">
        <w:rPr>
          <w:rStyle w:val="EndnoteReference"/>
          <w:rFonts w:cs="Arial"/>
          <w:sz w:val="19"/>
          <w:szCs w:val="20"/>
        </w:rPr>
        <w:endnoteReference w:id="19"/>
      </w:r>
      <w:r w:rsidRPr="00D86DFF">
        <w:rPr>
          <w:rFonts w:cs="Arial"/>
          <w:sz w:val="19"/>
          <w:szCs w:val="20"/>
        </w:rPr>
        <w:t>, up to 500 million rural villagers who live within or adjacent to forests and have a high degree of dependence on them</w:t>
      </w:r>
      <w:r w:rsidRPr="00D86DFF">
        <w:rPr>
          <w:rStyle w:val="EndnoteReference"/>
          <w:rFonts w:cs="Arial"/>
          <w:sz w:val="19"/>
          <w:szCs w:val="20"/>
        </w:rPr>
        <w:endnoteReference w:id="20"/>
      </w:r>
      <w:r w:rsidRPr="00D86DFF">
        <w:rPr>
          <w:rFonts w:cs="Arial"/>
          <w:sz w:val="19"/>
          <w:szCs w:val="20"/>
        </w:rPr>
        <w:t>, and more than 1 billion people who utilise agroforestry farming systems or remnant forests to contribute towards their subsistence and income needs</w:t>
      </w:r>
      <w:r w:rsidRPr="00D86DFF">
        <w:rPr>
          <w:rStyle w:val="EndnoteReference"/>
          <w:rFonts w:cs="Arial"/>
          <w:sz w:val="19"/>
          <w:szCs w:val="20"/>
        </w:rPr>
        <w:endnoteReference w:id="21"/>
      </w:r>
      <w:r w:rsidRPr="00D86DFF">
        <w:rPr>
          <w:rFonts w:cs="Arial"/>
          <w:sz w:val="19"/>
          <w:szCs w:val="20"/>
        </w:rPr>
        <w:t xml:space="preserve">. </w:t>
      </w:r>
    </w:p>
    <w:p w:rsidR="005D2A53" w:rsidRPr="00D86DFF" w:rsidRDefault="005D2A53" w:rsidP="001675EE">
      <w:pPr>
        <w:spacing w:line="280" w:lineRule="atLeast"/>
        <w:rPr>
          <w:sz w:val="19"/>
        </w:rPr>
      </w:pPr>
    </w:p>
    <w:p w:rsidR="005D2A53" w:rsidRPr="00D86DFF" w:rsidRDefault="005D2A53" w:rsidP="001675EE">
      <w:pPr>
        <w:spacing w:line="280" w:lineRule="atLeast"/>
        <w:rPr>
          <w:rFonts w:cs="Arial"/>
          <w:sz w:val="19"/>
        </w:rPr>
      </w:pPr>
      <w:r w:rsidRPr="00D86DFF">
        <w:rPr>
          <w:rFonts w:cs="Arial"/>
          <w:sz w:val="19"/>
        </w:rPr>
        <w:t xml:space="preserve">Clearly, a </w:t>
      </w:r>
      <w:r w:rsidR="00D31861" w:rsidRPr="00D86DFF">
        <w:rPr>
          <w:rFonts w:cs="Arial"/>
          <w:sz w:val="19"/>
        </w:rPr>
        <w:t>considerable</w:t>
      </w:r>
      <w:r w:rsidRPr="00D86DFF">
        <w:rPr>
          <w:rFonts w:cs="Arial"/>
          <w:sz w:val="19"/>
        </w:rPr>
        <w:t xml:space="preserve"> area of forest and a significant human population stand to be affected by investments which overcome the barriers to locally-controlled forest management</w:t>
      </w:r>
      <w:r w:rsidR="001B0C9E" w:rsidRPr="00D86DFF">
        <w:rPr>
          <w:rFonts w:cs="Arial"/>
          <w:sz w:val="19"/>
        </w:rPr>
        <w:t>.</w:t>
      </w:r>
      <w:r w:rsidR="007554D5" w:rsidRPr="00D86DFF">
        <w:rPr>
          <w:rFonts w:cs="Arial"/>
          <w:sz w:val="19"/>
        </w:rPr>
        <w:t xml:space="preserve"> According to the figures cited above, more than </w:t>
      </w:r>
      <w:r w:rsidR="007554D5" w:rsidRPr="00787EDE">
        <w:rPr>
          <w:rFonts w:ascii="Calibri" w:hAnsi="Calibri" w:cs="Arial"/>
          <w:b/>
          <w:sz w:val="22"/>
        </w:rPr>
        <w:t>400 million hectares of existing forests</w:t>
      </w:r>
      <w:r w:rsidR="007554D5" w:rsidRPr="00D86DFF">
        <w:rPr>
          <w:rFonts w:cs="Arial"/>
          <w:sz w:val="19"/>
        </w:rPr>
        <w:t xml:space="preserve"> and at least </w:t>
      </w:r>
      <w:r w:rsidR="007554D5" w:rsidRPr="00787EDE">
        <w:rPr>
          <w:rFonts w:ascii="Calibri" w:hAnsi="Calibri" w:cs="Arial"/>
          <w:b/>
          <w:sz w:val="22"/>
        </w:rPr>
        <w:t>1.5 billion people</w:t>
      </w:r>
      <w:r w:rsidR="007554D5" w:rsidRPr="00D86DFF">
        <w:rPr>
          <w:rFonts w:cs="Arial"/>
          <w:sz w:val="19"/>
        </w:rPr>
        <w:t xml:space="preserve"> are already impacted in some way. Investing in the restoration of </w:t>
      </w:r>
      <w:r w:rsidR="007554D5" w:rsidRPr="00787EDE">
        <w:rPr>
          <w:rFonts w:ascii="Calibri" w:hAnsi="Calibri" w:cs="Arial"/>
          <w:b/>
          <w:sz w:val="22"/>
        </w:rPr>
        <w:t>1.35 billion hectares of landscapes that are currently deforested and degraded</w:t>
      </w:r>
      <w:r w:rsidR="007554D5" w:rsidRPr="00D86DFF">
        <w:rPr>
          <w:rFonts w:cs="Arial"/>
          <w:sz w:val="19"/>
        </w:rPr>
        <w:t xml:space="preserve"> could more than quadruple this area, and increase still further the number of people who benefit directly from locally-controlled forest management.</w:t>
      </w:r>
    </w:p>
    <w:p w:rsidR="005D2A53" w:rsidRPr="00D86DFF" w:rsidRDefault="005D2A53" w:rsidP="001675EE">
      <w:pPr>
        <w:spacing w:line="280" w:lineRule="atLeast"/>
        <w:rPr>
          <w:sz w:val="19"/>
        </w:rPr>
        <w:sectPr w:rsidR="005D2A53" w:rsidRPr="00D86DFF" w:rsidSect="005D2A53">
          <w:endnotePr>
            <w:numFmt w:val="decimal"/>
          </w:endnotePr>
          <w:type w:val="continuous"/>
          <w:pgSz w:w="11906" w:h="16838" w:code="9"/>
          <w:pgMar w:top="1134" w:right="1134" w:bottom="1134" w:left="1134" w:header="567" w:footer="567" w:gutter="0"/>
          <w:cols w:num="2" w:space="567"/>
          <w:docGrid w:linePitch="360"/>
        </w:sectPr>
      </w:pPr>
    </w:p>
    <w:p w:rsidR="005D2A53" w:rsidRPr="00D41EF3" w:rsidRDefault="005D2A53" w:rsidP="001675EE">
      <w:pPr>
        <w:spacing w:line="280" w:lineRule="atLeast"/>
      </w:pPr>
    </w:p>
    <w:p w:rsidR="005D2A53" w:rsidRPr="00DA7EE5" w:rsidRDefault="005D2A53" w:rsidP="001675EE">
      <w:pPr>
        <w:pStyle w:val="Heading1"/>
        <w:spacing w:line="280" w:lineRule="atLeast"/>
      </w:pPr>
      <w:bookmarkStart w:id="0" w:name="_Toc280937936"/>
      <w:r>
        <w:t>What does this contribute to poor people’s livelihoods</w:t>
      </w:r>
      <w:r w:rsidRPr="00DA7EE5">
        <w:t>?</w:t>
      </w:r>
      <w:bookmarkEnd w:id="0"/>
    </w:p>
    <w:p w:rsidR="005D2A53" w:rsidRDefault="005D2A53" w:rsidP="001675EE">
      <w:pPr>
        <w:spacing w:line="280" w:lineRule="atLeast"/>
        <w:rPr>
          <w:rFonts w:cs="Arial"/>
          <w:color w:val="000000"/>
          <w:szCs w:val="20"/>
        </w:rPr>
        <w:sectPr w:rsidR="005D2A53" w:rsidSect="005D2A53">
          <w:endnotePr>
            <w:numFmt w:val="decimal"/>
          </w:endnotePr>
          <w:type w:val="continuous"/>
          <w:pgSz w:w="11906" w:h="16838" w:code="9"/>
          <w:pgMar w:top="1134" w:right="1134" w:bottom="1134" w:left="1134" w:header="567" w:footer="567" w:gutter="0"/>
          <w:cols w:space="708"/>
          <w:docGrid w:linePitch="360"/>
        </w:sectPr>
      </w:pPr>
    </w:p>
    <w:p w:rsidR="00520053" w:rsidRPr="00D86DFF" w:rsidRDefault="00520053" w:rsidP="001675EE">
      <w:pPr>
        <w:spacing w:line="280" w:lineRule="atLeast"/>
        <w:rPr>
          <w:rFonts w:cs="Arial"/>
          <w:sz w:val="19"/>
          <w:szCs w:val="20"/>
        </w:rPr>
      </w:pPr>
      <w:r w:rsidRPr="00D86DFF">
        <w:rPr>
          <w:rFonts w:cs="Arial"/>
          <w:sz w:val="19"/>
          <w:szCs w:val="20"/>
        </w:rPr>
        <w:t xml:space="preserve">Next, it is useful to consider </w:t>
      </w:r>
      <w:r w:rsidR="006346C1" w:rsidRPr="00D86DFF">
        <w:rPr>
          <w:rFonts w:cs="Arial"/>
          <w:sz w:val="19"/>
          <w:szCs w:val="20"/>
        </w:rPr>
        <w:t xml:space="preserve">what kinds of </w:t>
      </w:r>
      <w:r w:rsidRPr="00D86DFF">
        <w:rPr>
          <w:rFonts w:cs="Arial"/>
          <w:sz w:val="19"/>
          <w:szCs w:val="20"/>
        </w:rPr>
        <w:t xml:space="preserve">livelihood gains </w:t>
      </w:r>
      <w:r w:rsidR="00CA5B92" w:rsidRPr="00D86DFF">
        <w:rPr>
          <w:rFonts w:cs="Arial"/>
          <w:sz w:val="19"/>
          <w:szCs w:val="20"/>
        </w:rPr>
        <w:t xml:space="preserve">can be generated for </w:t>
      </w:r>
      <w:r w:rsidRPr="00D86DFF">
        <w:rPr>
          <w:rFonts w:cs="Arial"/>
          <w:sz w:val="19"/>
          <w:szCs w:val="20"/>
        </w:rPr>
        <w:t>the people who are involved in locally-controlled forest management.</w:t>
      </w:r>
    </w:p>
    <w:p w:rsidR="00520053" w:rsidRPr="00D86DFF" w:rsidRDefault="00520053" w:rsidP="001675EE">
      <w:pPr>
        <w:spacing w:line="280" w:lineRule="atLeast"/>
        <w:rPr>
          <w:rFonts w:cs="Arial"/>
          <w:sz w:val="19"/>
          <w:szCs w:val="20"/>
        </w:rPr>
      </w:pPr>
    </w:p>
    <w:p w:rsidR="005D2A53" w:rsidRPr="00D86DFF" w:rsidRDefault="005D2A53" w:rsidP="001675EE">
      <w:pPr>
        <w:spacing w:line="280" w:lineRule="atLeast"/>
        <w:rPr>
          <w:rFonts w:cs="Arial"/>
          <w:sz w:val="19"/>
          <w:szCs w:val="20"/>
        </w:rPr>
      </w:pPr>
      <w:r w:rsidRPr="00D86DFF">
        <w:rPr>
          <w:rFonts w:cs="Arial"/>
          <w:sz w:val="19"/>
          <w:szCs w:val="20"/>
        </w:rPr>
        <w:t>The</w:t>
      </w:r>
      <w:r w:rsidR="006346C1" w:rsidRPr="00D86DFF">
        <w:rPr>
          <w:rFonts w:cs="Arial"/>
          <w:sz w:val="19"/>
          <w:szCs w:val="20"/>
        </w:rPr>
        <w:t xml:space="preserve">se </w:t>
      </w:r>
      <w:r w:rsidR="00CA5B92" w:rsidRPr="00D86DFF">
        <w:rPr>
          <w:rFonts w:cs="Arial"/>
          <w:sz w:val="19"/>
          <w:szCs w:val="20"/>
        </w:rPr>
        <w:t xml:space="preserve">are typically </w:t>
      </w:r>
      <w:r w:rsidRPr="00D86DFF">
        <w:rPr>
          <w:rFonts w:cs="Arial"/>
          <w:sz w:val="19"/>
          <w:szCs w:val="20"/>
        </w:rPr>
        <w:t>substantial. For example</w:t>
      </w:r>
      <w:r w:rsidR="006346C1" w:rsidRPr="00D86DFF">
        <w:rPr>
          <w:rFonts w:cs="Arial"/>
          <w:sz w:val="19"/>
          <w:szCs w:val="20"/>
        </w:rPr>
        <w:t>,</w:t>
      </w:r>
      <w:r w:rsidRPr="00D86DFF">
        <w:rPr>
          <w:rFonts w:cs="Arial"/>
          <w:sz w:val="19"/>
          <w:szCs w:val="20"/>
        </w:rPr>
        <w:t xml:space="preserve"> in </w:t>
      </w:r>
      <w:r w:rsidRPr="00D86DFF">
        <w:rPr>
          <w:sz w:val="19"/>
        </w:rPr>
        <w:t xml:space="preserve">the Congo Basin </w:t>
      </w:r>
      <w:r w:rsidRPr="00D86DFF">
        <w:rPr>
          <w:rFonts w:cs="Arial"/>
          <w:sz w:val="19"/>
          <w:szCs w:val="20"/>
        </w:rPr>
        <w:t>(</w:t>
      </w:r>
      <w:r w:rsidRPr="00D86DFF">
        <w:rPr>
          <w:sz w:val="19"/>
        </w:rPr>
        <w:t>one of the landscapes that LLS has been working in</w:t>
      </w:r>
      <w:r w:rsidRPr="00D86DFF">
        <w:rPr>
          <w:rFonts w:cs="Arial"/>
          <w:sz w:val="19"/>
          <w:szCs w:val="20"/>
        </w:rPr>
        <w:t>) up to 80% of the animal protein consumed each year comes from wild bushmeat</w:t>
      </w:r>
      <w:r w:rsidRPr="00D86DFF">
        <w:rPr>
          <w:rStyle w:val="EndnoteReference"/>
          <w:sz w:val="19"/>
        </w:rPr>
        <w:endnoteReference w:id="22"/>
      </w:r>
      <w:r w:rsidRPr="00D86DFF">
        <w:rPr>
          <w:rFonts w:cs="Arial"/>
          <w:sz w:val="19"/>
          <w:szCs w:val="20"/>
        </w:rPr>
        <w:t xml:space="preserve"> and in </w:t>
      </w:r>
      <w:r w:rsidRPr="00D86DFF">
        <w:rPr>
          <w:sz w:val="19"/>
        </w:rPr>
        <w:t>the Democratic Republic of Congo forest foods comprise around one third of household production</w:t>
      </w:r>
      <w:r w:rsidRPr="00D86DFF">
        <w:rPr>
          <w:rStyle w:val="EndnoteReference"/>
          <w:sz w:val="19"/>
        </w:rPr>
        <w:endnoteReference w:id="23"/>
      </w:r>
      <w:r w:rsidRPr="00D86DFF">
        <w:rPr>
          <w:sz w:val="19"/>
        </w:rPr>
        <w:t>; a</w:t>
      </w:r>
      <w:r w:rsidRPr="00D86DFF">
        <w:rPr>
          <w:rFonts w:cs="Arial"/>
          <w:sz w:val="19"/>
          <w:szCs w:val="20"/>
        </w:rPr>
        <w:t xml:space="preserve">round </w:t>
      </w:r>
      <w:r w:rsidRPr="00D86DFF">
        <w:rPr>
          <w:sz w:val="19"/>
        </w:rPr>
        <w:t>80% of Cameroonians use wild medicinal plants to cater to all or part of their healthcare needs and more than 90% in the Democratic Republic of Congo</w:t>
      </w:r>
      <w:r w:rsidRPr="00D86DFF">
        <w:rPr>
          <w:rStyle w:val="EndnoteReference"/>
          <w:sz w:val="19"/>
        </w:rPr>
        <w:endnoteReference w:id="24"/>
      </w:r>
      <w:r w:rsidRPr="00D86DFF">
        <w:rPr>
          <w:sz w:val="19"/>
        </w:rPr>
        <w:t>.</w:t>
      </w:r>
      <w:r w:rsidRPr="00D86DFF">
        <w:rPr>
          <w:rFonts w:cs="Arial"/>
          <w:sz w:val="19"/>
          <w:szCs w:val="20"/>
        </w:rPr>
        <w:t xml:space="preserve"> </w:t>
      </w:r>
    </w:p>
    <w:p w:rsidR="005D2A53" w:rsidRPr="00D86DFF" w:rsidRDefault="005D2A53" w:rsidP="001675EE">
      <w:pPr>
        <w:spacing w:line="280" w:lineRule="atLeast"/>
        <w:rPr>
          <w:rFonts w:cs="Arial"/>
          <w:sz w:val="19"/>
          <w:szCs w:val="20"/>
        </w:rPr>
      </w:pPr>
    </w:p>
    <w:p w:rsidR="005D2A53" w:rsidRPr="00D86DFF" w:rsidRDefault="006346C1" w:rsidP="001675EE">
      <w:pPr>
        <w:spacing w:line="280" w:lineRule="atLeast"/>
        <w:rPr>
          <w:rFonts w:cs="Arial"/>
          <w:sz w:val="19"/>
          <w:szCs w:val="20"/>
        </w:rPr>
      </w:pPr>
      <w:r w:rsidRPr="00D86DFF">
        <w:rPr>
          <w:rFonts w:cs="Arial"/>
          <w:sz w:val="19"/>
          <w:szCs w:val="20"/>
        </w:rPr>
        <w:t>Forest-based sources of income and subsistence tend to be</w:t>
      </w:r>
      <w:r w:rsidR="005D2A53" w:rsidRPr="00D86DFF">
        <w:rPr>
          <w:rFonts w:cs="Arial"/>
          <w:sz w:val="19"/>
          <w:szCs w:val="20"/>
        </w:rPr>
        <w:t xml:space="preserve"> particularly important for the poor and vulnerable. In Lao PDR (also a LLS </w:t>
      </w:r>
      <w:r w:rsidR="002457BA">
        <w:rPr>
          <w:rFonts w:cs="Arial"/>
          <w:sz w:val="19"/>
          <w:szCs w:val="20"/>
        </w:rPr>
        <w:t>site</w:t>
      </w:r>
      <w:r w:rsidR="005D2A53" w:rsidRPr="00D86DFF">
        <w:rPr>
          <w:rFonts w:cs="Arial"/>
          <w:sz w:val="19"/>
          <w:szCs w:val="20"/>
        </w:rPr>
        <w:t xml:space="preserve">), not only do more than 80% of the population depend on forests for their daily food, fuel, medicines and construction materials, but the relative contribution of forest products to livelihoods is almost one and a half times higher for </w:t>
      </w:r>
      <w:r w:rsidRPr="00D86DFF">
        <w:rPr>
          <w:rFonts w:cs="Arial"/>
          <w:sz w:val="19"/>
          <w:szCs w:val="20"/>
        </w:rPr>
        <w:t>poor households as compared to others</w:t>
      </w:r>
      <w:r w:rsidR="005D2A53" w:rsidRPr="00D86DFF">
        <w:rPr>
          <w:rStyle w:val="EndnoteReference"/>
          <w:rFonts w:cs="Arial"/>
          <w:sz w:val="19"/>
          <w:szCs w:val="20"/>
        </w:rPr>
        <w:endnoteReference w:id="25"/>
      </w:r>
      <w:r w:rsidR="005D2A53" w:rsidRPr="00D86DFF">
        <w:rPr>
          <w:rFonts w:cs="Arial"/>
          <w:sz w:val="19"/>
          <w:szCs w:val="20"/>
        </w:rPr>
        <w:t xml:space="preserve">. In Mtanza Msona village in Tanzania (another LLS </w:t>
      </w:r>
      <w:r w:rsidR="002457BA">
        <w:rPr>
          <w:sz w:val="19"/>
        </w:rPr>
        <w:t>landscape</w:t>
      </w:r>
      <w:r w:rsidR="005D2A53" w:rsidRPr="00D86DFF">
        <w:rPr>
          <w:rFonts w:cs="Arial"/>
          <w:sz w:val="19"/>
          <w:szCs w:val="20"/>
        </w:rPr>
        <w:t xml:space="preserve">), woodland products are </w:t>
      </w:r>
      <w:r w:rsidR="005D2A53" w:rsidRPr="00D86DFF">
        <w:rPr>
          <w:rFonts w:cs="Arial"/>
          <w:sz w:val="19"/>
        </w:rPr>
        <w:t xml:space="preserve">worth almost eight times as much as all other sources of farm and off-farm production for the poorest households: the value of plant-based medicines is almost 15 times as high as </w:t>
      </w:r>
      <w:r w:rsidRPr="00D86DFF">
        <w:rPr>
          <w:rFonts w:cs="Arial"/>
          <w:sz w:val="19"/>
        </w:rPr>
        <w:t xml:space="preserve">that of </w:t>
      </w:r>
      <w:r w:rsidR="005D2A53" w:rsidRPr="00D86DFF">
        <w:rPr>
          <w:rFonts w:cs="Arial"/>
          <w:sz w:val="19"/>
        </w:rPr>
        <w:t xml:space="preserve">purchased drugs, and the wild foods harvested </w:t>
      </w:r>
      <w:r w:rsidRPr="00D86DFF">
        <w:rPr>
          <w:rFonts w:cs="Arial"/>
          <w:sz w:val="19"/>
        </w:rPr>
        <w:t xml:space="preserve">are </w:t>
      </w:r>
      <w:r w:rsidR="005D2A53" w:rsidRPr="00D86DFF">
        <w:rPr>
          <w:rFonts w:cs="Arial"/>
          <w:sz w:val="19"/>
        </w:rPr>
        <w:t>worth more than 14 times as much as annual expenditures on food from the market</w:t>
      </w:r>
      <w:r w:rsidR="005D2A53" w:rsidRPr="00D86DFF">
        <w:rPr>
          <w:rStyle w:val="EndnoteReference"/>
          <w:rFonts w:cs="Arial"/>
          <w:sz w:val="19"/>
        </w:rPr>
        <w:endnoteReference w:id="26"/>
      </w:r>
      <w:r w:rsidR="005D2A53" w:rsidRPr="00D86DFF">
        <w:rPr>
          <w:rFonts w:cs="Arial"/>
          <w:sz w:val="19"/>
        </w:rPr>
        <w:t>.</w:t>
      </w:r>
    </w:p>
    <w:p w:rsidR="005D2A53" w:rsidRPr="00D86DFF" w:rsidRDefault="005D2A53" w:rsidP="001675EE">
      <w:pPr>
        <w:spacing w:line="280" w:lineRule="atLeast"/>
        <w:rPr>
          <w:rFonts w:cs="Arial"/>
          <w:sz w:val="19"/>
          <w:szCs w:val="20"/>
        </w:rPr>
      </w:pPr>
    </w:p>
    <w:p w:rsidR="00DC218D" w:rsidRPr="00D86DFF" w:rsidRDefault="005D2A53" w:rsidP="001675EE">
      <w:pPr>
        <w:spacing w:line="280" w:lineRule="atLeast"/>
        <w:rPr>
          <w:sz w:val="19"/>
        </w:rPr>
      </w:pPr>
      <w:r w:rsidRPr="00D86DFF">
        <w:rPr>
          <w:rFonts w:cs="Arial"/>
          <w:sz w:val="19"/>
          <w:szCs w:val="20"/>
        </w:rPr>
        <w:t xml:space="preserve">Scaling </w:t>
      </w:r>
      <w:r w:rsidR="00CA5B92" w:rsidRPr="00D86DFF">
        <w:rPr>
          <w:rFonts w:cs="Arial"/>
          <w:sz w:val="19"/>
          <w:szCs w:val="20"/>
        </w:rPr>
        <w:t xml:space="preserve">up </w:t>
      </w:r>
      <w:r w:rsidRPr="00D86DFF">
        <w:rPr>
          <w:rFonts w:cs="Arial"/>
          <w:sz w:val="19"/>
          <w:szCs w:val="20"/>
        </w:rPr>
        <w:t xml:space="preserve">these </w:t>
      </w:r>
      <w:r w:rsidR="006346C1" w:rsidRPr="00D86DFF">
        <w:rPr>
          <w:rFonts w:cs="Arial"/>
          <w:sz w:val="19"/>
          <w:szCs w:val="20"/>
        </w:rPr>
        <w:t xml:space="preserve">kinds of </w:t>
      </w:r>
      <w:r w:rsidRPr="00D86DFF">
        <w:rPr>
          <w:rFonts w:cs="Arial"/>
          <w:sz w:val="19"/>
          <w:szCs w:val="20"/>
        </w:rPr>
        <w:t xml:space="preserve">figures </w:t>
      </w:r>
      <w:r w:rsidR="006346C1" w:rsidRPr="00D86DFF">
        <w:rPr>
          <w:rFonts w:cs="Arial"/>
          <w:sz w:val="19"/>
          <w:szCs w:val="20"/>
        </w:rPr>
        <w:t xml:space="preserve">indicates </w:t>
      </w:r>
      <w:r w:rsidRPr="00D86DFF">
        <w:rPr>
          <w:rFonts w:cs="Arial"/>
          <w:sz w:val="19"/>
          <w:szCs w:val="20"/>
        </w:rPr>
        <w:t xml:space="preserve">that the livelihood values generated by locally-controlled forestry are immense. In total, more than one billion people in developing countries are thought to </w:t>
      </w:r>
      <w:r w:rsidRPr="00D86DFF">
        <w:rPr>
          <w:sz w:val="19"/>
        </w:rPr>
        <w:t>generate income or other sources of livelihood from non-timber forest products</w:t>
      </w:r>
      <w:r w:rsidRPr="00D86DFF">
        <w:rPr>
          <w:rStyle w:val="EndnoteReference"/>
          <w:sz w:val="19"/>
        </w:rPr>
        <w:endnoteReference w:id="27"/>
      </w:r>
      <w:r w:rsidRPr="00D86DFF">
        <w:rPr>
          <w:sz w:val="19"/>
        </w:rPr>
        <w:t>, and about the same number depend on forests for their fuel</w:t>
      </w:r>
      <w:r w:rsidRPr="00D86DFF">
        <w:rPr>
          <w:rStyle w:val="EndnoteReference"/>
          <w:sz w:val="19"/>
        </w:rPr>
        <w:endnoteReference w:id="28"/>
      </w:r>
      <w:r w:rsidRPr="00D86DFF">
        <w:rPr>
          <w:sz w:val="19"/>
        </w:rPr>
        <w:t xml:space="preserve"> and medicinal</w:t>
      </w:r>
      <w:r w:rsidRPr="00D86DFF">
        <w:rPr>
          <w:rStyle w:val="EndnoteReference"/>
          <w:sz w:val="19"/>
        </w:rPr>
        <w:endnoteReference w:id="29"/>
      </w:r>
      <w:r w:rsidRPr="00D86DFF">
        <w:rPr>
          <w:sz w:val="19"/>
        </w:rPr>
        <w:t xml:space="preserve"> needs. </w:t>
      </w:r>
      <w:r w:rsidR="006346C1" w:rsidRPr="00D86DFF">
        <w:rPr>
          <w:sz w:val="19"/>
        </w:rPr>
        <w:t>On average t</w:t>
      </w:r>
      <w:r w:rsidRPr="00D86DFF">
        <w:rPr>
          <w:sz w:val="19"/>
        </w:rPr>
        <w:t xml:space="preserve">his contributes </w:t>
      </w:r>
      <w:r w:rsidR="006346C1" w:rsidRPr="00D86DFF">
        <w:rPr>
          <w:sz w:val="19"/>
        </w:rPr>
        <w:t xml:space="preserve">around </w:t>
      </w:r>
      <w:r w:rsidRPr="00D86DFF">
        <w:rPr>
          <w:sz w:val="19"/>
        </w:rPr>
        <w:t>a quarter</w:t>
      </w:r>
      <w:r w:rsidRPr="00D86DFF">
        <w:rPr>
          <w:rStyle w:val="EndnoteReference"/>
          <w:sz w:val="19"/>
        </w:rPr>
        <w:endnoteReference w:id="30"/>
      </w:r>
      <w:r w:rsidRPr="00D86DFF">
        <w:rPr>
          <w:sz w:val="19"/>
        </w:rPr>
        <w:t xml:space="preserve"> </w:t>
      </w:r>
      <w:r w:rsidRPr="00D86DFF">
        <w:rPr>
          <w:rFonts w:cs="Courier New"/>
          <w:sz w:val="19"/>
        </w:rPr>
        <w:t>-</w:t>
      </w:r>
      <w:r w:rsidRPr="00D86DFF">
        <w:rPr>
          <w:sz w:val="19"/>
        </w:rPr>
        <w:t xml:space="preserve"> and in many cases far more </w:t>
      </w:r>
      <w:r w:rsidRPr="00D86DFF">
        <w:rPr>
          <w:rFonts w:cs="Courier New"/>
          <w:sz w:val="19"/>
        </w:rPr>
        <w:t>–</w:t>
      </w:r>
      <w:r w:rsidRPr="00D86DFF">
        <w:rPr>
          <w:sz w:val="19"/>
        </w:rPr>
        <w:t xml:space="preserve"> of income </w:t>
      </w:r>
      <w:r w:rsidR="006346C1" w:rsidRPr="00D86DFF">
        <w:rPr>
          <w:sz w:val="19"/>
        </w:rPr>
        <w:t xml:space="preserve">for forest-adjacent </w:t>
      </w:r>
      <w:r w:rsidRPr="00D86DFF">
        <w:rPr>
          <w:sz w:val="19"/>
        </w:rPr>
        <w:t xml:space="preserve">communities. </w:t>
      </w:r>
    </w:p>
    <w:p w:rsidR="00DC218D" w:rsidRPr="00D86DFF" w:rsidRDefault="00DC218D" w:rsidP="001675EE">
      <w:pPr>
        <w:spacing w:line="280" w:lineRule="atLeast"/>
        <w:rPr>
          <w:sz w:val="19"/>
        </w:rPr>
      </w:pPr>
    </w:p>
    <w:p w:rsidR="005D2A53" w:rsidRPr="00D86DFF" w:rsidRDefault="006346C1" w:rsidP="001675EE">
      <w:pPr>
        <w:spacing w:line="280" w:lineRule="atLeast"/>
        <w:rPr>
          <w:sz w:val="19"/>
        </w:rPr>
      </w:pPr>
      <w:r w:rsidRPr="00D86DFF">
        <w:rPr>
          <w:sz w:val="19"/>
        </w:rPr>
        <w:t>Mean h</w:t>
      </w:r>
      <w:r w:rsidR="005D2A53" w:rsidRPr="00D86DFF">
        <w:rPr>
          <w:sz w:val="19"/>
        </w:rPr>
        <w:t>ousehold-level “environmental income</w:t>
      </w:r>
      <w:r w:rsidR="005D2A53" w:rsidRPr="00D86DFF">
        <w:rPr>
          <w:rFonts w:cs="Arial"/>
          <w:sz w:val="19"/>
          <w:szCs w:val="20"/>
        </w:rPr>
        <w:t xml:space="preserve">” (value-added through the consumption, barter or sale of forest goods) </w:t>
      </w:r>
      <w:r w:rsidR="00DC218D" w:rsidRPr="00D86DFF">
        <w:rPr>
          <w:rFonts w:cs="Arial"/>
          <w:sz w:val="19"/>
          <w:szCs w:val="20"/>
        </w:rPr>
        <w:t xml:space="preserve">has been found to be </w:t>
      </w:r>
      <w:r w:rsidRPr="00D86DFF">
        <w:rPr>
          <w:rFonts w:cs="Arial"/>
          <w:sz w:val="19"/>
          <w:szCs w:val="20"/>
        </w:rPr>
        <w:t xml:space="preserve">almost </w:t>
      </w:r>
      <w:r w:rsidR="005D2A53" w:rsidRPr="00D86DFF">
        <w:rPr>
          <w:sz w:val="19"/>
        </w:rPr>
        <w:t>US $</w:t>
      </w:r>
      <w:r w:rsidRPr="00D86DFF">
        <w:rPr>
          <w:sz w:val="19"/>
        </w:rPr>
        <w:t>700</w:t>
      </w:r>
      <w:r w:rsidR="005D2A53" w:rsidRPr="00D86DFF">
        <w:rPr>
          <w:sz w:val="19"/>
        </w:rPr>
        <w:t xml:space="preserve"> a year</w:t>
      </w:r>
      <w:r w:rsidR="005D2A53" w:rsidRPr="00D86DFF">
        <w:rPr>
          <w:rStyle w:val="EndnoteReference"/>
          <w:sz w:val="19"/>
        </w:rPr>
        <w:endnoteReference w:id="31"/>
      </w:r>
      <w:r w:rsidR="005D2A53" w:rsidRPr="00D86DFF">
        <w:rPr>
          <w:sz w:val="19"/>
        </w:rPr>
        <w:t>. While the monetary values are lower for poor and very poor households, the relative contribution to household subsistence and livelihoods tends to be far higher than for other members of the community.</w:t>
      </w:r>
      <w:r w:rsidR="001B0C9E" w:rsidRPr="00D86DFF">
        <w:rPr>
          <w:sz w:val="19"/>
        </w:rPr>
        <w:t xml:space="preserve"> </w:t>
      </w:r>
      <w:r w:rsidR="007554D5" w:rsidRPr="00D86DFF">
        <w:rPr>
          <w:sz w:val="19"/>
        </w:rPr>
        <w:t xml:space="preserve">Applying these values to the households in developing countries who depend on forests in some way suggests that locally-controlled forestry </w:t>
      </w:r>
      <w:r w:rsidR="007554D5" w:rsidRPr="00D86DFF">
        <w:rPr>
          <w:rFonts w:cs="Arial"/>
          <w:sz w:val="19"/>
          <w:szCs w:val="20"/>
          <w:lang w:eastAsia="en-US"/>
        </w:rPr>
        <w:t xml:space="preserve">provides them with </w:t>
      </w:r>
      <w:r w:rsidR="007554D5" w:rsidRPr="00787EDE">
        <w:rPr>
          <w:rFonts w:ascii="Calibri" w:hAnsi="Calibri" w:cs="Arial"/>
          <w:b/>
          <w:sz w:val="22"/>
          <w:lang w:eastAsia="en-US"/>
        </w:rPr>
        <w:t>livelihood benefits worth some US</w:t>
      </w:r>
      <w:r w:rsidR="009A3FF1">
        <w:rPr>
          <w:rFonts w:ascii="Calibri" w:hAnsi="Calibri" w:cs="Arial"/>
          <w:b/>
          <w:sz w:val="22"/>
          <w:lang w:eastAsia="en-US"/>
        </w:rPr>
        <w:t> </w:t>
      </w:r>
      <w:r w:rsidR="001675EE">
        <w:rPr>
          <w:rFonts w:ascii="Calibri" w:hAnsi="Calibri" w:cs="Arial"/>
          <w:b/>
          <w:sz w:val="22"/>
          <w:lang w:eastAsia="en-US"/>
        </w:rPr>
        <w:t>$</w:t>
      </w:r>
      <w:r w:rsidR="007554D5" w:rsidRPr="00787EDE">
        <w:rPr>
          <w:rFonts w:ascii="Calibri" w:hAnsi="Calibri" w:cs="Arial"/>
          <w:b/>
          <w:sz w:val="22"/>
          <w:lang w:eastAsia="en-US"/>
        </w:rPr>
        <w:t>1</w:t>
      </w:r>
      <w:r w:rsidR="000B4857">
        <w:rPr>
          <w:rFonts w:ascii="Calibri" w:hAnsi="Calibri" w:cs="Arial"/>
          <w:b/>
          <w:sz w:val="22"/>
          <w:lang w:eastAsia="en-US"/>
        </w:rPr>
        <w:t>30</w:t>
      </w:r>
      <w:r w:rsidR="007554D5" w:rsidRPr="00787EDE">
        <w:rPr>
          <w:rFonts w:ascii="Calibri" w:hAnsi="Calibri" w:cs="Arial"/>
          <w:b/>
          <w:sz w:val="22"/>
          <w:lang w:eastAsia="en-US"/>
        </w:rPr>
        <w:t xml:space="preserve"> billion a year</w:t>
      </w:r>
      <w:r w:rsidR="007554D5" w:rsidRPr="00D86DFF">
        <w:rPr>
          <w:rFonts w:cs="Arial"/>
          <w:sz w:val="19"/>
          <w:szCs w:val="20"/>
          <w:lang w:eastAsia="en-US"/>
        </w:rPr>
        <w:t>.</w:t>
      </w:r>
    </w:p>
    <w:p w:rsidR="005D2A53" w:rsidRDefault="007554D5" w:rsidP="001675EE">
      <w:pPr>
        <w:spacing w:line="280" w:lineRule="atLeast"/>
        <w:sectPr w:rsidR="005D2A53" w:rsidSect="005D2A53">
          <w:endnotePr>
            <w:numFmt w:val="decimal"/>
          </w:endnotePr>
          <w:type w:val="continuous"/>
          <w:pgSz w:w="11906" w:h="16838" w:code="9"/>
          <w:pgMar w:top="1134" w:right="1134" w:bottom="1134" w:left="1134" w:header="567" w:footer="567" w:gutter="0"/>
          <w:cols w:num="2" w:space="567"/>
          <w:docGrid w:linePitch="360"/>
        </w:sectPr>
      </w:pPr>
      <w:r w:rsidRPr="00D86DFF">
        <w:rPr>
          <w:sz w:val="19"/>
        </w:rPr>
        <w:t>.</w:t>
      </w:r>
    </w:p>
    <w:p w:rsidR="005D2A53" w:rsidRDefault="005D2A53" w:rsidP="001675EE">
      <w:pPr>
        <w:spacing w:line="280" w:lineRule="atLeast"/>
      </w:pPr>
    </w:p>
    <w:p w:rsidR="005D2A53" w:rsidRPr="00DA7EE5" w:rsidRDefault="005D2A53" w:rsidP="001675EE">
      <w:pPr>
        <w:pStyle w:val="Heading1"/>
        <w:spacing w:line="280" w:lineRule="atLeast"/>
      </w:pPr>
      <w:bookmarkStart w:id="1" w:name="_Toc280937937"/>
      <w:r>
        <w:t>What are the broader economic gains</w:t>
      </w:r>
      <w:r w:rsidRPr="00DA7EE5">
        <w:t>?</w:t>
      </w:r>
      <w:bookmarkEnd w:id="1"/>
    </w:p>
    <w:p w:rsidR="005D2A53" w:rsidRDefault="005D2A53" w:rsidP="001675EE">
      <w:pPr>
        <w:spacing w:line="280" w:lineRule="atLeast"/>
        <w:sectPr w:rsidR="005D2A53" w:rsidSect="005D2A53">
          <w:endnotePr>
            <w:numFmt w:val="decimal"/>
          </w:endnotePr>
          <w:type w:val="continuous"/>
          <w:pgSz w:w="11906" w:h="16838" w:code="9"/>
          <w:pgMar w:top="1134" w:right="1134" w:bottom="1134" w:left="1134" w:header="567" w:footer="567" w:gutter="0"/>
          <w:cols w:space="708"/>
          <w:docGrid w:linePitch="360"/>
        </w:sectPr>
      </w:pPr>
    </w:p>
    <w:p w:rsidR="00520053" w:rsidRPr="00D86DFF" w:rsidRDefault="00520053" w:rsidP="001675EE">
      <w:pPr>
        <w:spacing w:line="280" w:lineRule="atLeast"/>
        <w:rPr>
          <w:sz w:val="19"/>
        </w:rPr>
      </w:pPr>
      <w:r w:rsidRPr="00D86DFF">
        <w:rPr>
          <w:sz w:val="19"/>
        </w:rPr>
        <w:t xml:space="preserve">Following on from this, it is </w:t>
      </w:r>
      <w:r w:rsidR="000B4857">
        <w:rPr>
          <w:sz w:val="19"/>
        </w:rPr>
        <w:t xml:space="preserve">also </w:t>
      </w:r>
      <w:r w:rsidRPr="00D86DFF">
        <w:rPr>
          <w:sz w:val="19"/>
        </w:rPr>
        <w:t xml:space="preserve">important to understand </w:t>
      </w:r>
      <w:r w:rsidR="001675EE">
        <w:rPr>
          <w:sz w:val="19"/>
        </w:rPr>
        <w:t>which</w:t>
      </w:r>
      <w:r w:rsidRPr="00D86DFF">
        <w:rPr>
          <w:sz w:val="19"/>
        </w:rPr>
        <w:t xml:space="preserve"> kinds of economic benefits locally-controlled forestry generates for other sectors and at broader levels of scale.</w:t>
      </w:r>
    </w:p>
    <w:p w:rsidR="00520053" w:rsidRPr="00D86DFF" w:rsidRDefault="00520053" w:rsidP="001675EE">
      <w:pPr>
        <w:spacing w:line="280" w:lineRule="atLeast"/>
        <w:rPr>
          <w:sz w:val="19"/>
        </w:rPr>
      </w:pPr>
    </w:p>
    <w:p w:rsidR="005D2A53" w:rsidRPr="00D86DFF" w:rsidRDefault="005D2A53" w:rsidP="001675EE">
      <w:pPr>
        <w:spacing w:line="280" w:lineRule="atLeast"/>
        <w:rPr>
          <w:sz w:val="19"/>
        </w:rPr>
      </w:pPr>
      <w:r w:rsidRPr="00D86DFF">
        <w:rPr>
          <w:sz w:val="19"/>
        </w:rPr>
        <w:t xml:space="preserve">Locally-controlled forestry has an economic footprint which extend far beyond the livelihoods of adjacent communities. It </w:t>
      </w:r>
      <w:r w:rsidR="008E1784" w:rsidRPr="00D86DFF">
        <w:rPr>
          <w:sz w:val="19"/>
        </w:rPr>
        <w:t>secures</w:t>
      </w:r>
      <w:r w:rsidRPr="00D86DFF">
        <w:rPr>
          <w:sz w:val="19"/>
        </w:rPr>
        <w:t xml:space="preserve"> flows of income, products and services </w:t>
      </w:r>
      <w:r w:rsidR="008E1784" w:rsidRPr="00D86DFF">
        <w:rPr>
          <w:sz w:val="19"/>
        </w:rPr>
        <w:t xml:space="preserve">for </w:t>
      </w:r>
      <w:r w:rsidRPr="00D86DFF">
        <w:rPr>
          <w:sz w:val="19"/>
        </w:rPr>
        <w:t xml:space="preserve">many other sectors and populations. Recent, global-level, estimates suggest that the monetary value of the products and raw materials </w:t>
      </w:r>
      <w:r w:rsidR="00941CAB" w:rsidRPr="00D86DFF">
        <w:rPr>
          <w:sz w:val="19"/>
        </w:rPr>
        <w:t xml:space="preserve">that are harvested </w:t>
      </w:r>
      <w:r w:rsidRPr="00D86DFF">
        <w:rPr>
          <w:sz w:val="19"/>
        </w:rPr>
        <w:t>from tropical forests is something between US</w:t>
      </w:r>
      <w:r w:rsidR="001675EE">
        <w:rPr>
          <w:sz w:val="19"/>
        </w:rPr>
        <w:t>$</w:t>
      </w:r>
      <w:r w:rsidRPr="00D86DFF">
        <w:rPr>
          <w:sz w:val="19"/>
        </w:rPr>
        <w:t>26 and US</w:t>
      </w:r>
      <w:r w:rsidR="001675EE">
        <w:rPr>
          <w:sz w:val="19"/>
        </w:rPr>
        <w:t>$</w:t>
      </w:r>
      <w:r w:rsidRPr="00D86DFF">
        <w:rPr>
          <w:sz w:val="19"/>
        </w:rPr>
        <w:t>9,400/hectare/year</w:t>
      </w:r>
      <w:r w:rsidRPr="00D86DFF">
        <w:rPr>
          <w:rStyle w:val="EndnoteReference"/>
          <w:sz w:val="19"/>
        </w:rPr>
        <w:endnoteReference w:id="32"/>
      </w:r>
      <w:r w:rsidRPr="00D86DFF">
        <w:rPr>
          <w:sz w:val="19"/>
        </w:rPr>
        <w:t xml:space="preserve">. </w:t>
      </w:r>
      <w:r w:rsidR="00941CAB" w:rsidRPr="00D86DFF">
        <w:rPr>
          <w:sz w:val="19"/>
        </w:rPr>
        <w:t>F</w:t>
      </w:r>
      <w:r w:rsidR="00941CAB" w:rsidRPr="00D86DFF">
        <w:rPr>
          <w:rFonts w:cs="Arial"/>
          <w:sz w:val="19"/>
        </w:rPr>
        <w:t>orest-based employment is thought to account for something between 40 million</w:t>
      </w:r>
      <w:r w:rsidR="00941CAB" w:rsidRPr="00D86DFF">
        <w:rPr>
          <w:rStyle w:val="EndnoteReference"/>
          <w:rFonts w:cs="Arial"/>
          <w:sz w:val="19"/>
        </w:rPr>
        <w:endnoteReference w:id="33"/>
      </w:r>
      <w:r w:rsidR="00941CAB" w:rsidRPr="00D86DFF">
        <w:rPr>
          <w:sz w:val="19"/>
        </w:rPr>
        <w:t xml:space="preserve"> and 80 million</w:t>
      </w:r>
      <w:r w:rsidR="00941CAB" w:rsidRPr="00D86DFF">
        <w:rPr>
          <w:rStyle w:val="EndnoteReference"/>
          <w:sz w:val="19"/>
        </w:rPr>
        <w:endnoteReference w:id="34"/>
      </w:r>
      <w:r w:rsidR="00941CAB" w:rsidRPr="00D86DFF">
        <w:rPr>
          <w:sz w:val="19"/>
        </w:rPr>
        <w:t xml:space="preserve"> full-time job equivalents</w:t>
      </w:r>
      <w:r w:rsidR="00941CAB" w:rsidRPr="00D86DFF">
        <w:rPr>
          <w:rStyle w:val="EndnoteReference"/>
          <w:sz w:val="19"/>
        </w:rPr>
        <w:endnoteReference w:id="35"/>
      </w:r>
      <w:r w:rsidR="00941CAB" w:rsidRPr="00D86DFF">
        <w:rPr>
          <w:rFonts w:cs="Arial"/>
          <w:sz w:val="19"/>
          <w:szCs w:val="20"/>
        </w:rPr>
        <w:t xml:space="preserve">, including </w:t>
      </w:r>
      <w:r w:rsidR="00941CAB" w:rsidRPr="00D86DFF">
        <w:rPr>
          <w:sz w:val="19"/>
        </w:rPr>
        <w:t>approximately 160 million people who work in small and medium-scale enterprises</w:t>
      </w:r>
      <w:r w:rsidR="00941CAB" w:rsidRPr="00D86DFF">
        <w:rPr>
          <w:rStyle w:val="EndnoteReference"/>
          <w:sz w:val="19"/>
        </w:rPr>
        <w:endnoteReference w:id="36"/>
      </w:r>
      <w:r w:rsidR="00941CAB" w:rsidRPr="00D86DFF">
        <w:rPr>
          <w:sz w:val="19"/>
        </w:rPr>
        <w:t>.</w:t>
      </w:r>
    </w:p>
    <w:p w:rsidR="005D2A53" w:rsidRPr="00D86DFF" w:rsidRDefault="005D2A53" w:rsidP="001675EE">
      <w:pPr>
        <w:spacing w:line="280" w:lineRule="atLeast"/>
        <w:rPr>
          <w:sz w:val="19"/>
        </w:rPr>
      </w:pPr>
    </w:p>
    <w:p w:rsidR="001675EE" w:rsidRDefault="005D2A53" w:rsidP="001675EE">
      <w:pPr>
        <w:spacing w:line="280" w:lineRule="atLeast"/>
        <w:rPr>
          <w:sz w:val="19"/>
        </w:rPr>
      </w:pPr>
      <w:r w:rsidRPr="00D86DFF">
        <w:rPr>
          <w:sz w:val="19"/>
        </w:rPr>
        <w:t xml:space="preserve">These values are, in turn, manifested in the indicators that are used to gauge </w:t>
      </w:r>
      <w:r w:rsidR="00941CAB" w:rsidRPr="00D86DFF">
        <w:rPr>
          <w:sz w:val="19"/>
        </w:rPr>
        <w:t xml:space="preserve">economic </w:t>
      </w:r>
      <w:r w:rsidRPr="00D86DFF">
        <w:rPr>
          <w:sz w:val="19"/>
        </w:rPr>
        <w:t xml:space="preserve">performance and </w:t>
      </w:r>
      <w:r w:rsidR="008E1784" w:rsidRPr="00D86DFF">
        <w:rPr>
          <w:sz w:val="19"/>
        </w:rPr>
        <w:t>growth</w:t>
      </w:r>
      <w:r w:rsidRPr="00D86DFF">
        <w:rPr>
          <w:sz w:val="19"/>
        </w:rPr>
        <w:t xml:space="preserve">. Unfortunately, official statistics rarely reflect </w:t>
      </w:r>
      <w:r w:rsidR="00941CAB" w:rsidRPr="00D86DFF">
        <w:rPr>
          <w:sz w:val="19"/>
        </w:rPr>
        <w:t>the value of locally-controlled forestry</w:t>
      </w:r>
      <w:r w:rsidRPr="00D86DFF">
        <w:rPr>
          <w:sz w:val="19"/>
        </w:rPr>
        <w:t xml:space="preserve">, because so many </w:t>
      </w:r>
      <w:r w:rsidR="00941CAB" w:rsidRPr="00D86DFF">
        <w:rPr>
          <w:sz w:val="19"/>
        </w:rPr>
        <w:t xml:space="preserve">of the goods and services it provides never enter into </w:t>
      </w:r>
      <w:r w:rsidRPr="00D86DFF">
        <w:rPr>
          <w:sz w:val="19"/>
        </w:rPr>
        <w:t xml:space="preserve">formal markets. </w:t>
      </w:r>
    </w:p>
    <w:p w:rsidR="001675EE" w:rsidRDefault="001675EE" w:rsidP="001675EE">
      <w:pPr>
        <w:spacing w:line="280" w:lineRule="atLeast"/>
        <w:rPr>
          <w:sz w:val="19"/>
        </w:rPr>
      </w:pPr>
    </w:p>
    <w:p w:rsidR="005D2A53" w:rsidRPr="00D86DFF" w:rsidRDefault="005D2A53" w:rsidP="001675EE">
      <w:pPr>
        <w:spacing w:line="280" w:lineRule="atLeast"/>
        <w:rPr>
          <w:sz w:val="19"/>
        </w:rPr>
      </w:pPr>
      <w:r w:rsidRPr="00D86DFF">
        <w:rPr>
          <w:sz w:val="19"/>
        </w:rPr>
        <w:t xml:space="preserve">In Lao PDR, for example, the value-added from </w:t>
      </w:r>
      <w:r w:rsidR="001B0C9E" w:rsidRPr="00D86DFF">
        <w:rPr>
          <w:sz w:val="19"/>
        </w:rPr>
        <w:t xml:space="preserve">household-level </w:t>
      </w:r>
      <w:r w:rsidRPr="00D86DFF">
        <w:rPr>
          <w:sz w:val="19"/>
        </w:rPr>
        <w:t>non-timber forest product collection is thought to be almost four times as high as the recorded gross revenues from commercial round log harvesting</w:t>
      </w:r>
      <w:r w:rsidR="001B0C9E" w:rsidRPr="00D86DFF">
        <w:rPr>
          <w:sz w:val="19"/>
        </w:rPr>
        <w:t>. Overall,</w:t>
      </w:r>
      <w:r w:rsidRPr="00D86DFF">
        <w:rPr>
          <w:sz w:val="19"/>
        </w:rPr>
        <w:t xml:space="preserve"> forest goods and services have been shown to </w:t>
      </w:r>
      <w:r w:rsidRPr="00D86DFF">
        <w:rPr>
          <w:rFonts w:cs="Arial"/>
          <w:sz w:val="19"/>
        </w:rPr>
        <w:t>contribute three quarters of per capita GDP, more than 90% of employment, almost 60% of exports and foreign exchange earnings, just under a third of government revenues, nearly half of foreign direct investment inflows and around two thirds of donor assistance</w:t>
      </w:r>
      <w:r w:rsidRPr="00D86DFF">
        <w:rPr>
          <w:rStyle w:val="EndnoteReference"/>
          <w:rFonts w:cs="Arial"/>
          <w:sz w:val="19"/>
        </w:rPr>
        <w:endnoteReference w:id="37"/>
      </w:r>
      <w:r w:rsidRPr="00D86DFF">
        <w:rPr>
          <w:rFonts w:cs="Arial"/>
          <w:sz w:val="19"/>
        </w:rPr>
        <w:t xml:space="preserve">. Similarly, official </w:t>
      </w:r>
      <w:r w:rsidRPr="00D86DFF">
        <w:rPr>
          <w:sz w:val="19"/>
        </w:rPr>
        <w:t xml:space="preserve">data show that forests contribute </w:t>
      </w:r>
      <w:r w:rsidR="001B0C9E" w:rsidRPr="00D86DFF">
        <w:rPr>
          <w:sz w:val="19"/>
        </w:rPr>
        <w:t xml:space="preserve">only </w:t>
      </w:r>
      <w:r w:rsidRPr="00D86DFF">
        <w:rPr>
          <w:sz w:val="19"/>
        </w:rPr>
        <w:t>1% to 2% of GDP in Indonesia</w:t>
      </w:r>
      <w:r w:rsidR="001B0C9E" w:rsidRPr="00D86DFF">
        <w:rPr>
          <w:sz w:val="19"/>
        </w:rPr>
        <w:t xml:space="preserve"> (also a LLS country)</w:t>
      </w:r>
      <w:r w:rsidRPr="00D86DFF">
        <w:rPr>
          <w:sz w:val="19"/>
        </w:rPr>
        <w:t>, whereas the World Bank estimates that the</w:t>
      </w:r>
      <w:r w:rsidR="001B0C9E" w:rsidRPr="00D86DFF">
        <w:rPr>
          <w:sz w:val="19"/>
        </w:rPr>
        <w:t>ir</w:t>
      </w:r>
      <w:r w:rsidRPr="00D86DFF">
        <w:rPr>
          <w:sz w:val="19"/>
        </w:rPr>
        <w:t xml:space="preserve"> potential value to </w:t>
      </w:r>
      <w:r w:rsidR="001B0C9E" w:rsidRPr="00D86DFF">
        <w:rPr>
          <w:sz w:val="19"/>
        </w:rPr>
        <w:t xml:space="preserve">the </w:t>
      </w:r>
      <w:r w:rsidRPr="00D86DFF">
        <w:rPr>
          <w:sz w:val="19"/>
        </w:rPr>
        <w:t xml:space="preserve">economy is closer to 15% </w:t>
      </w:r>
      <w:r w:rsidR="001B0C9E" w:rsidRPr="00D86DFF">
        <w:rPr>
          <w:sz w:val="19"/>
        </w:rPr>
        <w:t xml:space="preserve">or </w:t>
      </w:r>
      <w:r w:rsidRPr="00D86DFF">
        <w:rPr>
          <w:sz w:val="19"/>
        </w:rPr>
        <w:t>20%</w:t>
      </w:r>
      <w:r w:rsidRPr="00D86DFF">
        <w:rPr>
          <w:rStyle w:val="EndnoteReference"/>
          <w:sz w:val="19"/>
        </w:rPr>
        <w:endnoteReference w:id="38"/>
      </w:r>
      <w:r w:rsidRPr="00D86DFF">
        <w:rPr>
          <w:sz w:val="19"/>
        </w:rPr>
        <w:t xml:space="preserve">. </w:t>
      </w:r>
    </w:p>
    <w:p w:rsidR="005D2A53" w:rsidRPr="00D86DFF" w:rsidRDefault="005D2A53" w:rsidP="001675EE">
      <w:pPr>
        <w:spacing w:line="280" w:lineRule="atLeast"/>
        <w:rPr>
          <w:sz w:val="19"/>
        </w:rPr>
      </w:pPr>
    </w:p>
    <w:p w:rsidR="001675EE" w:rsidRDefault="001B0C9E" w:rsidP="001675EE">
      <w:pPr>
        <w:spacing w:line="280" w:lineRule="atLeast"/>
        <w:rPr>
          <w:rFonts w:cs="Arial"/>
          <w:sz w:val="19"/>
          <w:szCs w:val="20"/>
        </w:rPr>
      </w:pPr>
      <w:r w:rsidRPr="00D86DFF">
        <w:rPr>
          <w:rFonts w:cs="Arial"/>
          <w:sz w:val="19"/>
          <w:szCs w:val="20"/>
        </w:rPr>
        <w:t xml:space="preserve">Locally-controlled forestry also adds other values to national and global economies. </w:t>
      </w:r>
      <w:r w:rsidR="005D2A53" w:rsidRPr="00D86DFF">
        <w:rPr>
          <w:rFonts w:cs="Arial"/>
          <w:sz w:val="19"/>
          <w:szCs w:val="20"/>
        </w:rPr>
        <w:t xml:space="preserve">The forests of </w:t>
      </w:r>
      <w:r w:rsidRPr="00D86DFF">
        <w:rPr>
          <w:rFonts w:cs="Arial"/>
          <w:sz w:val="19"/>
          <w:szCs w:val="20"/>
        </w:rPr>
        <w:t xml:space="preserve">China’s </w:t>
      </w:r>
      <w:r w:rsidR="005D2A53" w:rsidRPr="00D86DFF">
        <w:rPr>
          <w:rFonts w:cs="Arial"/>
          <w:sz w:val="19"/>
          <w:szCs w:val="20"/>
        </w:rPr>
        <w:t xml:space="preserve">Miyun </w:t>
      </w:r>
      <w:r w:rsidRPr="00D86DFF">
        <w:rPr>
          <w:rFonts w:cs="Arial"/>
          <w:sz w:val="19"/>
          <w:szCs w:val="20"/>
        </w:rPr>
        <w:t xml:space="preserve">watershed </w:t>
      </w:r>
      <w:r w:rsidR="005D2A53" w:rsidRPr="00D86DFF">
        <w:rPr>
          <w:rFonts w:cs="Arial"/>
          <w:sz w:val="19"/>
          <w:szCs w:val="20"/>
        </w:rPr>
        <w:t xml:space="preserve">(another LLS </w:t>
      </w:r>
      <w:r w:rsidRPr="00D86DFF">
        <w:rPr>
          <w:rFonts w:cs="Arial"/>
          <w:sz w:val="19"/>
          <w:szCs w:val="20"/>
        </w:rPr>
        <w:t>pilot site</w:t>
      </w:r>
      <w:r w:rsidR="005D2A53" w:rsidRPr="00D86DFF">
        <w:rPr>
          <w:rFonts w:cs="Arial"/>
          <w:sz w:val="19"/>
          <w:szCs w:val="20"/>
        </w:rPr>
        <w:t>), for example, generate water benefits worth just under US</w:t>
      </w:r>
      <w:r w:rsidR="001675EE">
        <w:rPr>
          <w:rFonts w:cs="Arial"/>
          <w:sz w:val="19"/>
          <w:szCs w:val="20"/>
        </w:rPr>
        <w:t>$</w:t>
      </w:r>
      <w:r w:rsidR="009A3FF1">
        <w:rPr>
          <w:rFonts w:cs="Arial"/>
          <w:sz w:val="19"/>
          <w:szCs w:val="20"/>
        </w:rPr>
        <w:t> </w:t>
      </w:r>
      <w:r w:rsidR="005D2A53" w:rsidRPr="00D86DFF">
        <w:rPr>
          <w:rFonts w:cs="Arial"/>
          <w:sz w:val="19"/>
          <w:szCs w:val="20"/>
        </w:rPr>
        <w:t>2 billion a year for city-dwellers in downstream Beijing</w:t>
      </w:r>
      <w:r w:rsidR="005D2A53" w:rsidRPr="00D86DFF">
        <w:rPr>
          <w:rStyle w:val="EndnoteReference"/>
          <w:rFonts w:cs="Arial"/>
          <w:sz w:val="19"/>
          <w:szCs w:val="20"/>
        </w:rPr>
        <w:endnoteReference w:id="39"/>
      </w:r>
      <w:r w:rsidR="005D2A53" w:rsidRPr="00D86DFF">
        <w:rPr>
          <w:rFonts w:cs="Arial"/>
          <w:sz w:val="19"/>
          <w:szCs w:val="20"/>
        </w:rPr>
        <w:t xml:space="preserve">. Meanwhile, the global value of </w:t>
      </w:r>
      <w:r w:rsidRPr="00D86DFF">
        <w:rPr>
          <w:rFonts w:cs="Arial"/>
          <w:sz w:val="19"/>
          <w:szCs w:val="20"/>
        </w:rPr>
        <w:t xml:space="preserve">the </w:t>
      </w:r>
      <w:r w:rsidR="005D2A53" w:rsidRPr="00D86DFF">
        <w:rPr>
          <w:rFonts w:cs="Arial"/>
          <w:sz w:val="19"/>
          <w:szCs w:val="20"/>
        </w:rPr>
        <w:t xml:space="preserve">carbon stock sequestered in the Amazon rainforests </w:t>
      </w:r>
      <w:r w:rsidR="00CA5B92" w:rsidRPr="00D86DFF">
        <w:rPr>
          <w:rFonts w:cs="Arial"/>
          <w:sz w:val="19"/>
          <w:szCs w:val="20"/>
        </w:rPr>
        <w:t xml:space="preserve">(where LLS is also working) </w:t>
      </w:r>
      <w:r w:rsidR="005D2A53" w:rsidRPr="00D86DFF">
        <w:rPr>
          <w:rFonts w:cs="Arial"/>
          <w:sz w:val="19"/>
          <w:szCs w:val="20"/>
        </w:rPr>
        <w:t>is estimated at between $1.5</w:t>
      </w:r>
      <w:r w:rsidR="009A3FF1">
        <w:rPr>
          <w:rFonts w:cs="Arial"/>
          <w:sz w:val="19"/>
          <w:szCs w:val="20"/>
        </w:rPr>
        <w:noBreakHyphen/>
      </w:r>
      <w:r w:rsidR="005D2A53" w:rsidRPr="00D86DFF">
        <w:rPr>
          <w:rFonts w:cs="Arial"/>
          <w:sz w:val="19"/>
          <w:szCs w:val="20"/>
        </w:rPr>
        <w:t>3</w:t>
      </w:r>
      <w:r w:rsidR="009A3FF1">
        <w:rPr>
          <w:rFonts w:cs="Arial"/>
          <w:sz w:val="19"/>
          <w:szCs w:val="20"/>
        </w:rPr>
        <w:t> </w:t>
      </w:r>
      <w:r w:rsidR="005D2A53" w:rsidRPr="00D86DFF">
        <w:rPr>
          <w:rFonts w:cs="Arial"/>
          <w:sz w:val="19"/>
          <w:szCs w:val="20"/>
        </w:rPr>
        <w:t>trillion</w:t>
      </w:r>
      <w:r w:rsidR="005D2A53" w:rsidRPr="00D86DFF">
        <w:rPr>
          <w:rStyle w:val="EndnoteReference"/>
          <w:rFonts w:cs="Arial"/>
          <w:sz w:val="19"/>
          <w:szCs w:val="20"/>
        </w:rPr>
        <w:endnoteReference w:id="40"/>
      </w:r>
      <w:r w:rsidR="005D2A53" w:rsidRPr="00D86DFF">
        <w:rPr>
          <w:rFonts w:cs="Arial"/>
          <w:sz w:val="19"/>
          <w:szCs w:val="20"/>
        </w:rPr>
        <w:t xml:space="preserve">. </w:t>
      </w:r>
    </w:p>
    <w:p w:rsidR="001675EE" w:rsidRDefault="001675EE" w:rsidP="001675EE">
      <w:pPr>
        <w:spacing w:line="280" w:lineRule="atLeast"/>
        <w:rPr>
          <w:rFonts w:cs="Arial"/>
          <w:sz w:val="19"/>
          <w:szCs w:val="20"/>
        </w:rPr>
      </w:pPr>
    </w:p>
    <w:p w:rsidR="001675EE" w:rsidRDefault="001B0C9E" w:rsidP="001675EE">
      <w:pPr>
        <w:spacing w:line="280" w:lineRule="atLeast"/>
        <w:rPr>
          <w:sz w:val="19"/>
        </w:rPr>
      </w:pPr>
      <w:r w:rsidRPr="00D86DFF">
        <w:rPr>
          <w:sz w:val="19"/>
        </w:rPr>
        <w:t xml:space="preserve">The </w:t>
      </w:r>
      <w:r w:rsidR="005D2A53" w:rsidRPr="00D86DFF">
        <w:rPr>
          <w:sz w:val="19"/>
        </w:rPr>
        <w:t>costs of losing these valuable ecosystem services</w:t>
      </w:r>
      <w:r w:rsidRPr="00D86DFF">
        <w:rPr>
          <w:sz w:val="19"/>
        </w:rPr>
        <w:t xml:space="preserve"> is almost unthinkable: </w:t>
      </w:r>
      <w:r w:rsidR="005D2A53" w:rsidRPr="00D86DFF">
        <w:rPr>
          <w:sz w:val="19"/>
        </w:rPr>
        <w:t xml:space="preserve">if current trends of tropical </w:t>
      </w:r>
      <w:r w:rsidRPr="00D86DFF">
        <w:rPr>
          <w:sz w:val="19"/>
        </w:rPr>
        <w:t xml:space="preserve">natural </w:t>
      </w:r>
      <w:r w:rsidR="005D2A53" w:rsidRPr="00D86DFF">
        <w:rPr>
          <w:sz w:val="19"/>
        </w:rPr>
        <w:t xml:space="preserve">forest degradation and deforestation continue, </w:t>
      </w:r>
      <w:r w:rsidRPr="00D86DFF">
        <w:rPr>
          <w:sz w:val="19"/>
        </w:rPr>
        <w:t xml:space="preserve">the global welfare losses from now until 2050 have been projected to </w:t>
      </w:r>
      <w:r w:rsidR="005D2A53" w:rsidRPr="00D86DFF">
        <w:rPr>
          <w:rFonts w:cs="Arial"/>
          <w:sz w:val="19"/>
        </w:rPr>
        <w:t xml:space="preserve">average </w:t>
      </w:r>
      <w:r w:rsidRPr="00D86DFF">
        <w:rPr>
          <w:rFonts w:cs="Arial"/>
          <w:sz w:val="19"/>
        </w:rPr>
        <w:t>over US</w:t>
      </w:r>
      <w:r w:rsidR="001675EE">
        <w:rPr>
          <w:rFonts w:cs="Arial"/>
          <w:sz w:val="19"/>
        </w:rPr>
        <w:t>$</w:t>
      </w:r>
      <w:r w:rsidR="009A3FF1">
        <w:rPr>
          <w:rFonts w:cs="Arial"/>
          <w:sz w:val="19"/>
        </w:rPr>
        <w:t> </w:t>
      </w:r>
      <w:r w:rsidRPr="00D86DFF">
        <w:rPr>
          <w:rFonts w:cs="Arial"/>
          <w:sz w:val="19"/>
        </w:rPr>
        <w:t>100</w:t>
      </w:r>
      <w:r w:rsidR="005D2A53" w:rsidRPr="00D86DFF">
        <w:rPr>
          <w:rFonts w:cs="Arial"/>
          <w:sz w:val="19"/>
        </w:rPr>
        <w:t xml:space="preserve"> billion a year</w:t>
      </w:r>
      <w:r w:rsidR="005D2A53" w:rsidRPr="00D86DFF">
        <w:rPr>
          <w:rStyle w:val="EndnoteReference"/>
          <w:sz w:val="19"/>
        </w:rPr>
        <w:endnoteReference w:id="41"/>
      </w:r>
      <w:r w:rsidR="005D2A53" w:rsidRPr="00D86DFF">
        <w:rPr>
          <w:rFonts w:cs="Arial"/>
          <w:sz w:val="19"/>
        </w:rPr>
        <w:t xml:space="preserve">. </w:t>
      </w:r>
      <w:r w:rsidR="005D2A53" w:rsidRPr="00D86DFF">
        <w:rPr>
          <w:rFonts w:cs="Arial"/>
          <w:sz w:val="19"/>
          <w:szCs w:val="20"/>
        </w:rPr>
        <w:t xml:space="preserve">Recent estimates indicate that </w:t>
      </w:r>
      <w:r w:rsidRPr="00D86DFF">
        <w:rPr>
          <w:rFonts w:cs="Arial"/>
          <w:sz w:val="19"/>
          <w:szCs w:val="20"/>
        </w:rPr>
        <w:t xml:space="preserve">the </w:t>
      </w:r>
      <w:r w:rsidR="005D2A53" w:rsidRPr="00D86DFF">
        <w:rPr>
          <w:rFonts w:cs="Arial"/>
          <w:sz w:val="19"/>
          <w:szCs w:val="20"/>
        </w:rPr>
        <w:t xml:space="preserve">regulating services </w:t>
      </w:r>
      <w:r w:rsidRPr="00D86DFF">
        <w:rPr>
          <w:rFonts w:cs="Arial"/>
          <w:sz w:val="19"/>
          <w:szCs w:val="20"/>
        </w:rPr>
        <w:t xml:space="preserve">provided by tropical forests </w:t>
      </w:r>
      <w:r w:rsidR="005D2A53" w:rsidRPr="00D86DFF">
        <w:rPr>
          <w:rFonts w:cs="Arial"/>
          <w:sz w:val="19"/>
          <w:szCs w:val="20"/>
        </w:rPr>
        <w:t xml:space="preserve">can be worth anything between </w:t>
      </w:r>
      <w:r w:rsidR="005D2A53" w:rsidRPr="00D86DFF">
        <w:rPr>
          <w:sz w:val="19"/>
        </w:rPr>
        <w:t>US</w:t>
      </w:r>
      <w:r w:rsidR="001675EE">
        <w:rPr>
          <w:sz w:val="19"/>
        </w:rPr>
        <w:t>$</w:t>
      </w:r>
      <w:r w:rsidR="009A3FF1">
        <w:rPr>
          <w:sz w:val="19"/>
        </w:rPr>
        <w:t> </w:t>
      </w:r>
      <w:r w:rsidR="005D2A53" w:rsidRPr="00D86DFF">
        <w:rPr>
          <w:sz w:val="19"/>
        </w:rPr>
        <w:t>60 and US</w:t>
      </w:r>
      <w:r w:rsidR="001675EE">
        <w:rPr>
          <w:sz w:val="19"/>
        </w:rPr>
        <w:t>$</w:t>
      </w:r>
      <w:r w:rsidR="009A3FF1">
        <w:rPr>
          <w:sz w:val="19"/>
        </w:rPr>
        <w:t> 7</w:t>
      </w:r>
      <w:r w:rsidR="005D2A53" w:rsidRPr="00D86DFF">
        <w:rPr>
          <w:sz w:val="19"/>
        </w:rPr>
        <w:t>000/hectare/year, habitat services between US</w:t>
      </w:r>
      <w:r w:rsidR="001675EE">
        <w:rPr>
          <w:sz w:val="19"/>
        </w:rPr>
        <w:t>$</w:t>
      </w:r>
      <w:r w:rsidR="009A3FF1">
        <w:rPr>
          <w:sz w:val="19"/>
        </w:rPr>
        <w:t> </w:t>
      </w:r>
      <w:r w:rsidR="005D2A53" w:rsidRPr="00D86DFF">
        <w:rPr>
          <w:sz w:val="19"/>
        </w:rPr>
        <w:t>5 and US</w:t>
      </w:r>
      <w:r w:rsidR="001675EE">
        <w:rPr>
          <w:sz w:val="19"/>
        </w:rPr>
        <w:t>$</w:t>
      </w:r>
      <w:r w:rsidR="009A3FF1">
        <w:rPr>
          <w:sz w:val="19"/>
        </w:rPr>
        <w:t> 5</w:t>
      </w:r>
      <w:r w:rsidR="005D2A53" w:rsidRPr="00D86DFF">
        <w:rPr>
          <w:sz w:val="19"/>
        </w:rPr>
        <w:t>000, and cultural services between US</w:t>
      </w:r>
      <w:r w:rsidR="001675EE">
        <w:rPr>
          <w:sz w:val="19"/>
        </w:rPr>
        <w:t>$</w:t>
      </w:r>
      <w:r w:rsidR="009A3FF1">
        <w:rPr>
          <w:sz w:val="19"/>
        </w:rPr>
        <w:t> </w:t>
      </w:r>
      <w:r w:rsidR="005D2A53" w:rsidRPr="00D86DFF">
        <w:rPr>
          <w:sz w:val="19"/>
        </w:rPr>
        <w:t>2 and US</w:t>
      </w:r>
      <w:r w:rsidR="001675EE">
        <w:rPr>
          <w:sz w:val="19"/>
        </w:rPr>
        <w:t>$</w:t>
      </w:r>
      <w:r w:rsidR="009A3FF1">
        <w:rPr>
          <w:sz w:val="19"/>
        </w:rPr>
        <w:t>1</w:t>
      </w:r>
      <w:r w:rsidR="005D2A53" w:rsidRPr="00D86DFF">
        <w:rPr>
          <w:sz w:val="19"/>
        </w:rPr>
        <w:t>400</w:t>
      </w:r>
      <w:r w:rsidR="005D2A53" w:rsidRPr="00D86DFF">
        <w:rPr>
          <w:rStyle w:val="EndnoteReference"/>
          <w:sz w:val="19"/>
        </w:rPr>
        <w:endnoteReference w:id="42"/>
      </w:r>
      <w:r w:rsidR="005D2A53" w:rsidRPr="00D86DFF">
        <w:rPr>
          <w:sz w:val="19"/>
        </w:rPr>
        <w:t xml:space="preserve">. </w:t>
      </w:r>
      <w:r w:rsidR="001675EE">
        <w:rPr>
          <w:sz w:val="19"/>
        </w:rPr>
        <w:t>Averaged across all tropical forest countries, a meta-analysis of available data proposes that the total annual values generated from tropical forests is as high as US$</w:t>
      </w:r>
      <w:r w:rsidR="009A3FF1">
        <w:rPr>
          <w:sz w:val="19"/>
        </w:rPr>
        <w:t> </w:t>
      </w:r>
      <w:r w:rsidR="001675EE">
        <w:rPr>
          <w:sz w:val="19"/>
        </w:rPr>
        <w:t>2000 per hectare or US$</w:t>
      </w:r>
      <w:r w:rsidR="009A3FF1">
        <w:rPr>
          <w:sz w:val="19"/>
        </w:rPr>
        <w:t> </w:t>
      </w:r>
      <w:r w:rsidR="001675EE">
        <w:rPr>
          <w:sz w:val="19"/>
        </w:rPr>
        <w:t>3.8 trillion in total</w:t>
      </w:r>
      <w:r w:rsidR="001675EE" w:rsidRPr="00D86DFF">
        <w:rPr>
          <w:rStyle w:val="EndnoteReference"/>
          <w:rFonts w:cs="Arial"/>
          <w:sz w:val="19"/>
          <w:szCs w:val="20"/>
        </w:rPr>
        <w:endnoteReference w:id="43"/>
      </w:r>
      <w:r w:rsidR="001675EE">
        <w:rPr>
          <w:sz w:val="19"/>
        </w:rPr>
        <w:t>.</w:t>
      </w:r>
    </w:p>
    <w:p w:rsidR="001675EE" w:rsidRDefault="001675EE" w:rsidP="001675EE">
      <w:pPr>
        <w:spacing w:line="280" w:lineRule="atLeast"/>
        <w:rPr>
          <w:sz w:val="19"/>
        </w:rPr>
      </w:pPr>
    </w:p>
    <w:p w:rsidR="005D2A53" w:rsidRPr="00D86DFF" w:rsidRDefault="005D2A53" w:rsidP="001675EE">
      <w:pPr>
        <w:spacing w:line="280" w:lineRule="atLeast"/>
        <w:rPr>
          <w:rFonts w:cs="Arial"/>
          <w:sz w:val="19"/>
        </w:rPr>
      </w:pPr>
      <w:r w:rsidRPr="00D86DFF">
        <w:rPr>
          <w:sz w:val="19"/>
        </w:rPr>
        <w:t>Extrapolating the</w:t>
      </w:r>
      <w:r w:rsidR="001675EE">
        <w:rPr>
          <w:sz w:val="19"/>
        </w:rPr>
        <w:t>se</w:t>
      </w:r>
      <w:r w:rsidRPr="00D86DFF">
        <w:rPr>
          <w:sz w:val="19"/>
        </w:rPr>
        <w:t xml:space="preserve"> data suggests that the 400 million or so hectares of tropical forest under local management may, in addition to the livelihood values described in the previous section, generate services to a value of almost </w:t>
      </w:r>
      <w:r w:rsidRPr="00787EDE">
        <w:rPr>
          <w:rFonts w:ascii="Calibri" w:hAnsi="Calibri" w:cs="Arial"/>
          <w:b/>
          <w:sz w:val="22"/>
        </w:rPr>
        <w:t>US</w:t>
      </w:r>
      <w:r w:rsidR="001675EE">
        <w:rPr>
          <w:rFonts w:ascii="Calibri" w:hAnsi="Calibri" w:cs="Arial"/>
          <w:b/>
          <w:sz w:val="22"/>
        </w:rPr>
        <w:t>$</w:t>
      </w:r>
      <w:r w:rsidR="009A3FF1">
        <w:rPr>
          <w:rFonts w:ascii="Calibri" w:hAnsi="Calibri" w:cs="Arial"/>
          <w:b/>
          <w:sz w:val="22"/>
        </w:rPr>
        <w:t> </w:t>
      </w:r>
      <w:r w:rsidRPr="00787EDE">
        <w:rPr>
          <w:rFonts w:ascii="Calibri" w:hAnsi="Calibri" w:cs="Arial"/>
          <w:b/>
          <w:sz w:val="22"/>
        </w:rPr>
        <w:t xml:space="preserve">720 billion a year </w:t>
      </w:r>
      <w:r w:rsidR="006969F6" w:rsidRPr="00787EDE">
        <w:rPr>
          <w:rFonts w:ascii="Calibri" w:hAnsi="Calibri" w:cs="Arial"/>
          <w:b/>
          <w:sz w:val="22"/>
        </w:rPr>
        <w:t xml:space="preserve">for national and </w:t>
      </w:r>
      <w:r w:rsidRPr="00787EDE">
        <w:rPr>
          <w:rFonts w:ascii="Calibri" w:hAnsi="Calibri" w:cs="Arial"/>
          <w:b/>
          <w:sz w:val="22"/>
        </w:rPr>
        <w:t>global econom</w:t>
      </w:r>
      <w:r w:rsidR="006969F6" w:rsidRPr="00787EDE">
        <w:rPr>
          <w:rFonts w:ascii="Calibri" w:hAnsi="Calibri" w:cs="Arial"/>
          <w:b/>
          <w:sz w:val="22"/>
        </w:rPr>
        <w:t>ies</w:t>
      </w:r>
      <w:r w:rsidRPr="00D86DFF">
        <w:rPr>
          <w:sz w:val="19"/>
        </w:rPr>
        <w:t xml:space="preserve">. </w:t>
      </w:r>
    </w:p>
    <w:p w:rsidR="005D2A53" w:rsidRDefault="005D2A53" w:rsidP="001675EE">
      <w:pPr>
        <w:spacing w:line="280" w:lineRule="atLeast"/>
        <w:rPr>
          <w:rFonts w:cs="Arial"/>
        </w:rPr>
        <w:sectPr w:rsidR="005D2A53" w:rsidSect="009A3FF1">
          <w:endnotePr>
            <w:numFmt w:val="decimal"/>
          </w:endnotePr>
          <w:type w:val="continuous"/>
          <w:pgSz w:w="11906" w:h="16838" w:code="9"/>
          <w:pgMar w:top="1134" w:right="1134" w:bottom="630" w:left="1134" w:header="567" w:footer="567" w:gutter="0"/>
          <w:cols w:num="2" w:space="567"/>
          <w:docGrid w:linePitch="360"/>
        </w:sectPr>
      </w:pPr>
    </w:p>
    <w:p w:rsidR="005D2A53" w:rsidRDefault="005D2A53" w:rsidP="001675EE">
      <w:pPr>
        <w:spacing w:line="280" w:lineRule="atLeast"/>
        <w:rPr>
          <w:rFonts w:cs="Arial"/>
        </w:rPr>
      </w:pPr>
    </w:p>
    <w:p w:rsidR="00CE6F7E" w:rsidRPr="00CE6F7E" w:rsidRDefault="00453680" w:rsidP="001675EE">
      <w:pPr>
        <w:pStyle w:val="Heading1"/>
        <w:spacing w:line="280" w:lineRule="atLeast"/>
      </w:pPr>
      <w:r>
        <w:t>So what is t</w:t>
      </w:r>
      <w:r w:rsidR="00CE6F7E" w:rsidRPr="00CE6F7E">
        <w:t>he value of investing in locally-controlled forestry</w:t>
      </w:r>
      <w:r>
        <w:t>?</w:t>
      </w:r>
    </w:p>
    <w:p w:rsidR="005D2A53" w:rsidRDefault="005D2A53" w:rsidP="001675EE">
      <w:pPr>
        <w:spacing w:line="280" w:lineRule="atLeast"/>
        <w:rPr>
          <w:rFonts w:cs="Arial"/>
          <w:szCs w:val="20"/>
          <w:lang w:eastAsia="en-US"/>
        </w:rPr>
        <w:sectPr w:rsidR="005D2A53" w:rsidSect="005D2A53">
          <w:endnotePr>
            <w:numFmt w:val="decimal"/>
          </w:endnotePr>
          <w:type w:val="continuous"/>
          <w:pgSz w:w="11906" w:h="16838" w:code="9"/>
          <w:pgMar w:top="1134" w:right="1134" w:bottom="1134" w:left="1134" w:header="567" w:footer="567" w:gutter="0"/>
          <w:cols w:space="708"/>
          <w:docGrid w:linePitch="360"/>
        </w:sectPr>
      </w:pPr>
    </w:p>
    <w:p w:rsidR="00316A6F" w:rsidRPr="00D86DFF" w:rsidRDefault="00316A6F" w:rsidP="001675EE">
      <w:pPr>
        <w:spacing w:line="280" w:lineRule="atLeast"/>
        <w:rPr>
          <w:rFonts w:cs="Arial"/>
          <w:sz w:val="19"/>
          <w:szCs w:val="20"/>
          <w:lang w:eastAsia="en-US"/>
        </w:rPr>
      </w:pPr>
      <w:r w:rsidRPr="00D86DFF">
        <w:rPr>
          <w:rFonts w:cs="Arial"/>
          <w:sz w:val="19"/>
          <w:szCs w:val="20"/>
          <w:lang w:eastAsia="en-US"/>
        </w:rPr>
        <w:t>This paper set out to show the economic impacts of breaking down barriers to locally-controlled forestry in tropical and developing countries.</w:t>
      </w:r>
    </w:p>
    <w:p w:rsidR="00316A6F" w:rsidRPr="00D86DFF" w:rsidRDefault="00316A6F" w:rsidP="001675EE">
      <w:pPr>
        <w:spacing w:line="280" w:lineRule="atLeast"/>
        <w:rPr>
          <w:rFonts w:cs="Arial"/>
          <w:sz w:val="19"/>
          <w:szCs w:val="20"/>
          <w:lang w:eastAsia="en-US"/>
        </w:rPr>
      </w:pPr>
    </w:p>
    <w:p w:rsidR="005D2A53" w:rsidRPr="00D86DFF" w:rsidRDefault="005D2A53" w:rsidP="001675EE">
      <w:pPr>
        <w:spacing w:line="280" w:lineRule="atLeast"/>
        <w:rPr>
          <w:rFonts w:cs="Arial"/>
          <w:sz w:val="19"/>
          <w:szCs w:val="20"/>
          <w:lang w:eastAsia="en-US"/>
        </w:rPr>
      </w:pPr>
      <w:r w:rsidRPr="00D86DFF">
        <w:rPr>
          <w:rFonts w:cs="Arial"/>
          <w:sz w:val="19"/>
          <w:szCs w:val="20"/>
          <w:lang w:eastAsia="en-US"/>
        </w:rPr>
        <w:t xml:space="preserve">Even </w:t>
      </w:r>
      <w:r w:rsidR="00316A6F" w:rsidRPr="00D86DFF">
        <w:rPr>
          <w:rFonts w:cs="Arial"/>
          <w:sz w:val="19"/>
          <w:szCs w:val="20"/>
          <w:lang w:eastAsia="en-US"/>
        </w:rPr>
        <w:t xml:space="preserve">the </w:t>
      </w:r>
      <w:r w:rsidRPr="00D86DFF">
        <w:rPr>
          <w:rFonts w:cs="Arial"/>
          <w:sz w:val="19"/>
          <w:szCs w:val="20"/>
          <w:lang w:eastAsia="en-US"/>
        </w:rPr>
        <w:t xml:space="preserve">rudimentary analysis </w:t>
      </w:r>
      <w:r w:rsidR="00316A6F" w:rsidRPr="00D86DFF">
        <w:rPr>
          <w:rFonts w:cs="Arial"/>
          <w:sz w:val="19"/>
          <w:szCs w:val="20"/>
          <w:lang w:eastAsia="en-US"/>
        </w:rPr>
        <w:t xml:space="preserve">that has been carried out </w:t>
      </w:r>
      <w:r w:rsidRPr="00D86DFF">
        <w:rPr>
          <w:rFonts w:cs="Arial"/>
          <w:sz w:val="19"/>
          <w:szCs w:val="20"/>
          <w:lang w:eastAsia="en-US"/>
        </w:rPr>
        <w:t xml:space="preserve">yields some quite staggering </w:t>
      </w:r>
      <w:r w:rsidR="001675EE">
        <w:rPr>
          <w:rFonts w:cs="Arial"/>
          <w:sz w:val="19"/>
          <w:szCs w:val="20"/>
          <w:lang w:eastAsia="en-US"/>
        </w:rPr>
        <w:t>figures</w:t>
      </w:r>
      <w:r w:rsidR="00316A6F" w:rsidRPr="00D86DFF">
        <w:rPr>
          <w:rFonts w:cs="Arial"/>
          <w:sz w:val="19"/>
          <w:szCs w:val="20"/>
          <w:lang w:eastAsia="en-US"/>
        </w:rPr>
        <w:t>.</w:t>
      </w:r>
      <w:r w:rsidRPr="00D86DFF">
        <w:rPr>
          <w:rFonts w:cs="Arial"/>
          <w:sz w:val="19"/>
          <w:szCs w:val="20"/>
          <w:lang w:eastAsia="en-US"/>
        </w:rPr>
        <w:t xml:space="preserve"> At a </w:t>
      </w:r>
      <w:r w:rsidR="000B4857">
        <w:rPr>
          <w:rFonts w:cs="Arial"/>
          <w:sz w:val="19"/>
          <w:szCs w:val="20"/>
          <w:lang w:eastAsia="en-US"/>
        </w:rPr>
        <w:t xml:space="preserve">very </w:t>
      </w:r>
      <w:r w:rsidRPr="00D86DFF">
        <w:rPr>
          <w:rFonts w:cs="Arial"/>
          <w:sz w:val="19"/>
          <w:szCs w:val="20"/>
          <w:lang w:eastAsia="en-US"/>
        </w:rPr>
        <w:t xml:space="preserve">conservative estimate, at least 400 million hectares of forest </w:t>
      </w:r>
      <w:r w:rsidR="00247F4B" w:rsidRPr="00D86DFF">
        <w:rPr>
          <w:rFonts w:cs="Arial"/>
          <w:sz w:val="19"/>
          <w:szCs w:val="20"/>
          <w:lang w:eastAsia="en-US"/>
        </w:rPr>
        <w:t xml:space="preserve">landscapes </w:t>
      </w:r>
      <w:r w:rsidRPr="00D86DFF">
        <w:rPr>
          <w:rFonts w:cs="Arial"/>
          <w:sz w:val="19"/>
          <w:szCs w:val="20"/>
          <w:lang w:eastAsia="en-US"/>
        </w:rPr>
        <w:t xml:space="preserve">and 1.5 billion people </w:t>
      </w:r>
      <w:r w:rsidR="001E0896" w:rsidRPr="00D86DFF">
        <w:rPr>
          <w:rFonts w:cs="Arial"/>
          <w:sz w:val="19"/>
          <w:szCs w:val="20"/>
          <w:lang w:eastAsia="en-US"/>
        </w:rPr>
        <w:t>are involved</w:t>
      </w:r>
      <w:r w:rsidRPr="00D86DFF">
        <w:rPr>
          <w:rFonts w:cs="Arial"/>
          <w:sz w:val="19"/>
          <w:szCs w:val="20"/>
          <w:lang w:eastAsia="en-US"/>
        </w:rPr>
        <w:t>.</w:t>
      </w:r>
      <w:r w:rsidR="00D72287" w:rsidRPr="00D86DFF">
        <w:rPr>
          <w:rFonts w:cs="Arial"/>
          <w:sz w:val="19"/>
          <w:szCs w:val="20"/>
          <w:lang w:eastAsia="en-US"/>
        </w:rPr>
        <w:t xml:space="preserve"> </w:t>
      </w:r>
      <w:r w:rsidR="00247F4B" w:rsidRPr="00D86DFF">
        <w:rPr>
          <w:rFonts w:cs="Arial"/>
          <w:sz w:val="19"/>
          <w:szCs w:val="20"/>
          <w:lang w:eastAsia="en-US"/>
        </w:rPr>
        <w:t xml:space="preserve">To put these figures in context, locally-controlled forest management </w:t>
      </w:r>
      <w:r w:rsidR="001E0896" w:rsidRPr="00D86DFF">
        <w:rPr>
          <w:rFonts w:cs="Arial"/>
          <w:sz w:val="19"/>
          <w:szCs w:val="20"/>
          <w:lang w:eastAsia="en-US"/>
        </w:rPr>
        <w:t xml:space="preserve">already </w:t>
      </w:r>
      <w:r w:rsidR="00247F4B" w:rsidRPr="00D86DFF">
        <w:rPr>
          <w:rFonts w:cs="Arial"/>
          <w:sz w:val="19"/>
          <w:szCs w:val="20"/>
          <w:lang w:eastAsia="en-US"/>
        </w:rPr>
        <w:t xml:space="preserve">involves an area which is </w:t>
      </w:r>
      <w:r w:rsidR="001675EE">
        <w:rPr>
          <w:rFonts w:cs="Arial"/>
          <w:sz w:val="19"/>
          <w:szCs w:val="20"/>
          <w:lang w:eastAsia="en-US"/>
        </w:rPr>
        <w:t xml:space="preserve">at a minimum </w:t>
      </w:r>
      <w:r w:rsidR="00247F4B" w:rsidRPr="00D86DFF">
        <w:rPr>
          <w:rFonts w:cs="Arial"/>
          <w:sz w:val="19"/>
          <w:szCs w:val="20"/>
          <w:lang w:eastAsia="en-US"/>
        </w:rPr>
        <w:t>roughly the same size as the European Union, and a human population that is larger than that of China.</w:t>
      </w:r>
    </w:p>
    <w:p w:rsidR="005D2A53" w:rsidRPr="00D86DFF" w:rsidRDefault="005D2A53" w:rsidP="001675EE">
      <w:pPr>
        <w:spacing w:line="280" w:lineRule="atLeast"/>
        <w:rPr>
          <w:rFonts w:cs="Arial"/>
          <w:sz w:val="19"/>
          <w:szCs w:val="20"/>
          <w:lang w:eastAsia="en-US"/>
        </w:rPr>
      </w:pPr>
    </w:p>
    <w:p w:rsidR="005D2A53" w:rsidRPr="00D86DFF" w:rsidRDefault="00247F4B" w:rsidP="001675EE">
      <w:pPr>
        <w:spacing w:line="280" w:lineRule="atLeast"/>
        <w:rPr>
          <w:rFonts w:cs="Arial"/>
          <w:sz w:val="19"/>
          <w:szCs w:val="20"/>
          <w:lang w:eastAsia="en-US"/>
        </w:rPr>
      </w:pPr>
      <w:r w:rsidRPr="00D86DFF">
        <w:rPr>
          <w:rFonts w:cs="Arial"/>
          <w:sz w:val="19"/>
          <w:szCs w:val="20"/>
          <w:lang w:eastAsia="en-US"/>
        </w:rPr>
        <w:t xml:space="preserve">This generates </w:t>
      </w:r>
      <w:r w:rsidR="005D2A53" w:rsidRPr="00D86DFF">
        <w:rPr>
          <w:rFonts w:cs="Arial"/>
          <w:sz w:val="19"/>
          <w:szCs w:val="20"/>
          <w:lang w:eastAsia="en-US"/>
        </w:rPr>
        <w:t xml:space="preserve">direct livelihood </w:t>
      </w:r>
      <w:r w:rsidR="001E0896" w:rsidRPr="00D86DFF">
        <w:rPr>
          <w:rFonts w:cs="Arial"/>
          <w:sz w:val="19"/>
          <w:szCs w:val="20"/>
          <w:lang w:eastAsia="en-US"/>
        </w:rPr>
        <w:t>values worth</w:t>
      </w:r>
      <w:r w:rsidR="005D2A53" w:rsidRPr="00D86DFF">
        <w:rPr>
          <w:rFonts w:cs="Arial"/>
          <w:sz w:val="19"/>
          <w:szCs w:val="20"/>
          <w:lang w:eastAsia="en-US"/>
        </w:rPr>
        <w:t xml:space="preserve"> </w:t>
      </w:r>
      <w:r w:rsidRPr="00D86DFF">
        <w:rPr>
          <w:rFonts w:cs="Arial"/>
          <w:sz w:val="19"/>
          <w:szCs w:val="20"/>
          <w:lang w:eastAsia="en-US"/>
        </w:rPr>
        <w:t xml:space="preserve">an estimated </w:t>
      </w:r>
      <w:r w:rsidR="005D2A53" w:rsidRPr="00D86DFF">
        <w:rPr>
          <w:rFonts w:cs="Arial"/>
          <w:sz w:val="19"/>
          <w:szCs w:val="20"/>
          <w:lang w:eastAsia="en-US"/>
        </w:rPr>
        <w:t>US</w:t>
      </w:r>
      <w:r w:rsidR="001675EE">
        <w:rPr>
          <w:rFonts w:cs="Arial"/>
          <w:sz w:val="19"/>
          <w:szCs w:val="20"/>
          <w:lang w:eastAsia="en-US"/>
        </w:rPr>
        <w:t>$</w:t>
      </w:r>
      <w:r w:rsidR="009A3FF1">
        <w:rPr>
          <w:rFonts w:cs="Arial"/>
          <w:sz w:val="19"/>
          <w:szCs w:val="20"/>
          <w:lang w:eastAsia="en-US"/>
        </w:rPr>
        <w:t> </w:t>
      </w:r>
      <w:r w:rsidR="005D2A53" w:rsidRPr="00D86DFF">
        <w:rPr>
          <w:rFonts w:cs="Arial"/>
          <w:sz w:val="19"/>
          <w:szCs w:val="20"/>
          <w:lang w:eastAsia="en-US"/>
        </w:rPr>
        <w:t>1</w:t>
      </w:r>
      <w:r w:rsidR="000B4857">
        <w:rPr>
          <w:rFonts w:cs="Arial"/>
          <w:sz w:val="19"/>
          <w:szCs w:val="20"/>
          <w:lang w:eastAsia="en-US"/>
        </w:rPr>
        <w:t>30</w:t>
      </w:r>
      <w:r w:rsidR="005D2A53" w:rsidRPr="00D86DFF">
        <w:rPr>
          <w:rFonts w:cs="Arial"/>
          <w:sz w:val="19"/>
          <w:szCs w:val="20"/>
          <w:lang w:eastAsia="en-US"/>
        </w:rPr>
        <w:t xml:space="preserve"> billion a year</w:t>
      </w:r>
      <w:r w:rsidR="001E0896" w:rsidRPr="00D86DFF">
        <w:rPr>
          <w:rFonts w:cs="Arial"/>
          <w:sz w:val="19"/>
          <w:szCs w:val="20"/>
          <w:lang w:eastAsia="en-US"/>
        </w:rPr>
        <w:t xml:space="preserve"> (worth more than France’s and Switzerland’s gold reserves combined)</w:t>
      </w:r>
      <w:r w:rsidR="005D2A53" w:rsidRPr="00D86DFF">
        <w:rPr>
          <w:rFonts w:cs="Arial"/>
          <w:sz w:val="19"/>
          <w:szCs w:val="20"/>
          <w:lang w:eastAsia="en-US"/>
        </w:rPr>
        <w:t xml:space="preserve">. </w:t>
      </w:r>
      <w:r w:rsidR="001E0896" w:rsidRPr="00D86DFF">
        <w:rPr>
          <w:rFonts w:cs="Arial"/>
          <w:sz w:val="19"/>
          <w:szCs w:val="20"/>
          <w:lang w:eastAsia="en-US"/>
        </w:rPr>
        <w:t xml:space="preserve">The </w:t>
      </w:r>
      <w:r w:rsidR="005D2A53" w:rsidRPr="00D86DFF">
        <w:rPr>
          <w:rFonts w:cs="Arial"/>
          <w:sz w:val="19"/>
          <w:szCs w:val="20"/>
          <w:lang w:eastAsia="en-US"/>
        </w:rPr>
        <w:t xml:space="preserve">value of ecosystem services </w:t>
      </w:r>
      <w:r w:rsidR="001E0896" w:rsidRPr="00D86DFF">
        <w:rPr>
          <w:rFonts w:cs="Arial"/>
          <w:sz w:val="19"/>
          <w:szCs w:val="20"/>
          <w:lang w:eastAsia="en-US"/>
        </w:rPr>
        <w:t xml:space="preserve">which accrue more broadly, to national and even global economies, is in excess of </w:t>
      </w:r>
      <w:r w:rsidR="005D2A53" w:rsidRPr="00D86DFF">
        <w:rPr>
          <w:rFonts w:cs="Arial"/>
          <w:sz w:val="19"/>
          <w:szCs w:val="20"/>
          <w:lang w:eastAsia="en-US"/>
        </w:rPr>
        <w:t>US</w:t>
      </w:r>
      <w:r w:rsidR="001675EE">
        <w:rPr>
          <w:rFonts w:cs="Arial"/>
          <w:sz w:val="19"/>
          <w:szCs w:val="20"/>
          <w:lang w:eastAsia="en-US"/>
        </w:rPr>
        <w:t>$</w:t>
      </w:r>
      <w:r w:rsidR="009A3FF1">
        <w:rPr>
          <w:rFonts w:cs="Arial"/>
          <w:sz w:val="19"/>
          <w:szCs w:val="20"/>
          <w:lang w:eastAsia="en-US"/>
        </w:rPr>
        <w:t> </w:t>
      </w:r>
      <w:r w:rsidR="005D2A53" w:rsidRPr="00D86DFF">
        <w:rPr>
          <w:rFonts w:cs="Arial"/>
          <w:sz w:val="19"/>
          <w:szCs w:val="20"/>
          <w:lang w:eastAsia="en-US"/>
        </w:rPr>
        <w:t>720 billion a year</w:t>
      </w:r>
      <w:r w:rsidR="001E0896" w:rsidRPr="00D86DFF">
        <w:rPr>
          <w:rFonts w:cs="Arial"/>
          <w:sz w:val="19"/>
          <w:szCs w:val="20"/>
          <w:lang w:eastAsia="en-US"/>
        </w:rPr>
        <w:t xml:space="preserve"> (only a little less than the GDP of the Netherlands)</w:t>
      </w:r>
      <w:r w:rsidR="005D2A53" w:rsidRPr="00D86DFF">
        <w:rPr>
          <w:rFonts w:cs="Arial"/>
          <w:sz w:val="19"/>
          <w:szCs w:val="20"/>
          <w:lang w:eastAsia="en-US"/>
        </w:rPr>
        <w:t xml:space="preserve">. </w:t>
      </w:r>
    </w:p>
    <w:p w:rsidR="00453680" w:rsidRPr="00D86DFF" w:rsidRDefault="00453680" w:rsidP="001675EE">
      <w:pPr>
        <w:pStyle w:val="Heading1"/>
        <w:spacing w:line="280" w:lineRule="atLeast"/>
        <w:sectPr w:rsidR="00453680" w:rsidRPr="00D86DFF" w:rsidSect="00CE6F7E">
          <w:endnotePr>
            <w:numFmt w:val="decimal"/>
          </w:endnotePr>
          <w:type w:val="continuous"/>
          <w:pgSz w:w="11906" w:h="16838" w:code="9"/>
          <w:pgMar w:top="1134" w:right="1134" w:bottom="1134" w:left="1134" w:header="567" w:footer="567" w:gutter="0"/>
          <w:cols w:num="2" w:space="567"/>
          <w:docGrid w:linePitch="360"/>
        </w:sectPr>
      </w:pPr>
      <w:bookmarkStart w:id="2" w:name="_Toc280937938"/>
    </w:p>
    <w:p w:rsidR="00453680" w:rsidRPr="00D86DFF" w:rsidRDefault="00453680" w:rsidP="001675EE">
      <w:pPr>
        <w:spacing w:line="280" w:lineRule="atLeast"/>
        <w:rPr>
          <w:sz w:val="19"/>
        </w:rPr>
      </w:pPr>
    </w:p>
    <w:p w:rsidR="00CE6F7E" w:rsidRPr="00DA7EE5" w:rsidRDefault="00CE6F7E" w:rsidP="001675EE">
      <w:pPr>
        <w:pStyle w:val="Heading1"/>
        <w:spacing w:line="280" w:lineRule="atLeast"/>
      </w:pPr>
      <w:r>
        <w:t xml:space="preserve">What needs to change if we are to secure these </w:t>
      </w:r>
      <w:r w:rsidR="00453680">
        <w:t>economic gains</w:t>
      </w:r>
      <w:r w:rsidRPr="00DA7EE5">
        <w:t>?</w:t>
      </w:r>
      <w:bookmarkEnd w:id="2"/>
    </w:p>
    <w:p w:rsidR="00453680" w:rsidRDefault="00453680" w:rsidP="001675EE">
      <w:pPr>
        <w:spacing w:line="280" w:lineRule="atLeast"/>
        <w:rPr>
          <w:rFonts w:cs="Arial"/>
          <w:szCs w:val="20"/>
          <w:lang w:eastAsia="en-US"/>
        </w:rPr>
        <w:sectPr w:rsidR="00453680" w:rsidSect="00453680">
          <w:endnotePr>
            <w:numFmt w:val="decimal"/>
          </w:endnotePr>
          <w:type w:val="continuous"/>
          <w:pgSz w:w="11906" w:h="16838" w:code="9"/>
          <w:pgMar w:top="1134" w:right="1134" w:bottom="1134" w:left="1134" w:header="567" w:footer="567" w:gutter="0"/>
          <w:cols w:space="567"/>
          <w:docGrid w:linePitch="360"/>
        </w:sectPr>
      </w:pPr>
    </w:p>
    <w:p w:rsidR="006E349C" w:rsidRPr="00D86DFF" w:rsidRDefault="005D2A53" w:rsidP="001675EE">
      <w:pPr>
        <w:spacing w:line="280" w:lineRule="atLeast"/>
        <w:rPr>
          <w:rFonts w:cs="Arial"/>
          <w:sz w:val="19"/>
          <w:szCs w:val="20"/>
          <w:lang w:eastAsia="en-US"/>
        </w:rPr>
      </w:pPr>
      <w:r w:rsidRPr="00D86DFF">
        <w:rPr>
          <w:rFonts w:cs="Arial"/>
          <w:sz w:val="19"/>
          <w:szCs w:val="20"/>
          <w:lang w:eastAsia="en-US"/>
        </w:rPr>
        <w:t xml:space="preserve">However high the value of </w:t>
      </w:r>
      <w:r w:rsidR="00D72287" w:rsidRPr="00D86DFF">
        <w:rPr>
          <w:rFonts w:cs="Arial"/>
          <w:sz w:val="19"/>
          <w:szCs w:val="20"/>
          <w:lang w:eastAsia="en-US"/>
        </w:rPr>
        <w:t>locally-controlled forestry</w:t>
      </w:r>
      <w:r w:rsidRPr="00D86DFF">
        <w:rPr>
          <w:rFonts w:cs="Arial"/>
          <w:sz w:val="19"/>
          <w:szCs w:val="20"/>
          <w:lang w:eastAsia="en-US"/>
        </w:rPr>
        <w:t xml:space="preserve"> is demonstrated to be in theory, this has little meaning unless it actually translates into changes in real-world policy and practice. </w:t>
      </w:r>
      <w:r w:rsidR="001675EE">
        <w:rPr>
          <w:rFonts w:cs="Arial"/>
          <w:sz w:val="19"/>
          <w:szCs w:val="20"/>
          <w:lang w:eastAsia="en-US"/>
        </w:rPr>
        <w:t xml:space="preserve">This means taking action to </w:t>
      </w:r>
      <w:r w:rsidR="000B4857">
        <w:rPr>
          <w:rFonts w:cs="Arial"/>
          <w:sz w:val="19"/>
          <w:szCs w:val="20"/>
          <w:lang w:eastAsia="en-US"/>
        </w:rPr>
        <w:t xml:space="preserve">dismantle </w:t>
      </w:r>
      <w:r w:rsidR="001675EE">
        <w:rPr>
          <w:rFonts w:cs="Arial"/>
          <w:sz w:val="19"/>
          <w:szCs w:val="20"/>
          <w:lang w:eastAsia="en-US"/>
        </w:rPr>
        <w:t>the barriers that currently exist to locally-controlled forest management, and to these values being realised.</w:t>
      </w:r>
    </w:p>
    <w:p w:rsidR="006E349C" w:rsidRPr="00D86DFF" w:rsidRDefault="006E349C" w:rsidP="001675EE">
      <w:pPr>
        <w:spacing w:line="280" w:lineRule="atLeast"/>
        <w:rPr>
          <w:rFonts w:cs="Arial"/>
          <w:sz w:val="19"/>
          <w:szCs w:val="20"/>
          <w:lang w:eastAsia="en-US"/>
        </w:rPr>
      </w:pPr>
    </w:p>
    <w:p w:rsidR="00CA2587" w:rsidRDefault="006E349C" w:rsidP="001675EE">
      <w:pPr>
        <w:spacing w:line="280" w:lineRule="atLeast"/>
        <w:rPr>
          <w:rFonts w:cs="Arial"/>
          <w:sz w:val="19"/>
          <w:szCs w:val="20"/>
          <w:lang w:eastAsia="en-US"/>
        </w:rPr>
      </w:pPr>
      <w:r w:rsidRPr="00D86DFF">
        <w:rPr>
          <w:rFonts w:cs="Arial"/>
          <w:sz w:val="19"/>
          <w:szCs w:val="20"/>
          <w:lang w:eastAsia="en-US"/>
        </w:rPr>
        <w:t xml:space="preserve">One set of barriers </w:t>
      </w:r>
      <w:r w:rsidR="004051AD" w:rsidRPr="00D86DFF">
        <w:rPr>
          <w:rFonts w:cs="Arial"/>
          <w:sz w:val="19"/>
          <w:szCs w:val="20"/>
          <w:lang w:eastAsia="en-US"/>
        </w:rPr>
        <w:t xml:space="preserve">concerns </w:t>
      </w:r>
      <w:r w:rsidRPr="00D86DFF">
        <w:rPr>
          <w:rFonts w:cs="Arial"/>
          <w:sz w:val="19"/>
          <w:szCs w:val="20"/>
          <w:lang w:eastAsia="en-US"/>
        </w:rPr>
        <w:t xml:space="preserve">the </w:t>
      </w:r>
      <w:r w:rsidR="004051AD" w:rsidRPr="00D86DFF">
        <w:rPr>
          <w:rFonts w:cs="Arial"/>
          <w:sz w:val="19"/>
          <w:szCs w:val="20"/>
          <w:lang w:eastAsia="en-US"/>
        </w:rPr>
        <w:t>unsupportive or weakly enforced legal, administrative and governance conditions that persist in many countries, and which prevent local communities from taking control both of the forests that surround them, and the benefits that these yield.</w:t>
      </w:r>
      <w:r w:rsidR="00291F16" w:rsidRPr="00D86DFF">
        <w:rPr>
          <w:rFonts w:cs="Arial"/>
          <w:sz w:val="19"/>
          <w:szCs w:val="20"/>
          <w:lang w:eastAsia="en-US"/>
        </w:rPr>
        <w:t xml:space="preserve"> </w:t>
      </w:r>
      <w:r w:rsidRPr="00D86DFF">
        <w:rPr>
          <w:rFonts w:cs="Arial"/>
          <w:sz w:val="19"/>
          <w:szCs w:val="20"/>
          <w:lang w:eastAsia="en-US"/>
        </w:rPr>
        <w:t xml:space="preserve">Another key </w:t>
      </w:r>
      <w:r w:rsidR="004051AD" w:rsidRPr="00D86DFF">
        <w:rPr>
          <w:rFonts w:cs="Arial"/>
          <w:sz w:val="19"/>
          <w:szCs w:val="20"/>
          <w:lang w:eastAsia="en-US"/>
        </w:rPr>
        <w:t xml:space="preserve">constraint </w:t>
      </w:r>
      <w:r w:rsidRPr="00D86DFF">
        <w:rPr>
          <w:rFonts w:cs="Arial"/>
          <w:sz w:val="19"/>
          <w:szCs w:val="20"/>
          <w:lang w:eastAsia="en-US"/>
        </w:rPr>
        <w:t>is the currently low investment that is being made in locally-controlled forestry</w:t>
      </w:r>
      <w:r w:rsidR="004051AD" w:rsidRPr="00D86DFF">
        <w:rPr>
          <w:rFonts w:cs="Arial"/>
          <w:sz w:val="19"/>
          <w:szCs w:val="20"/>
          <w:lang w:eastAsia="en-US"/>
        </w:rPr>
        <w:t>, and in overcoming these barriers</w:t>
      </w:r>
      <w:r w:rsidRPr="00D86DFF">
        <w:rPr>
          <w:rFonts w:cs="Arial"/>
          <w:sz w:val="19"/>
          <w:szCs w:val="20"/>
          <w:lang w:eastAsia="en-US"/>
        </w:rPr>
        <w:t>.</w:t>
      </w:r>
      <w:r w:rsidR="0019329D" w:rsidRPr="00D86DFF">
        <w:rPr>
          <w:rFonts w:cs="Arial"/>
          <w:sz w:val="19"/>
          <w:szCs w:val="20"/>
          <w:lang w:eastAsia="en-US"/>
        </w:rPr>
        <w:t xml:space="preserve"> </w:t>
      </w:r>
    </w:p>
    <w:p w:rsidR="00CA2587" w:rsidRDefault="00CA2587" w:rsidP="001675EE">
      <w:pPr>
        <w:spacing w:line="280" w:lineRule="atLeast"/>
        <w:rPr>
          <w:rFonts w:cs="Arial"/>
          <w:sz w:val="19"/>
          <w:szCs w:val="20"/>
          <w:lang w:eastAsia="en-US"/>
        </w:rPr>
      </w:pPr>
    </w:p>
    <w:p w:rsidR="0019329D" w:rsidRPr="00D86DFF" w:rsidRDefault="0019329D" w:rsidP="001675EE">
      <w:pPr>
        <w:spacing w:line="280" w:lineRule="atLeast"/>
        <w:rPr>
          <w:rFonts w:cs="Arial"/>
          <w:sz w:val="19"/>
          <w:szCs w:val="20"/>
          <w:lang w:eastAsia="en-US"/>
        </w:rPr>
      </w:pPr>
      <w:r w:rsidRPr="00D86DFF">
        <w:rPr>
          <w:rFonts w:cs="Arial"/>
          <w:sz w:val="19"/>
          <w:szCs w:val="20"/>
          <w:lang w:eastAsia="en-US"/>
        </w:rPr>
        <w:t>As the experiences of LLS have shown, a relatively small investment in breaking down a barrier to locally-controlled forest management often acts as a catalyst for capturing a much greater economic contribution from forest resources, across many different sectors and levels of scale.</w:t>
      </w:r>
      <w:r w:rsidR="00CA2587">
        <w:rPr>
          <w:rFonts w:cs="Arial"/>
          <w:sz w:val="19"/>
          <w:szCs w:val="20"/>
          <w:lang w:eastAsia="en-US"/>
        </w:rPr>
        <w:t xml:space="preserve"> </w:t>
      </w:r>
      <w:r w:rsidRPr="00D86DFF">
        <w:rPr>
          <w:rFonts w:cs="Arial"/>
          <w:sz w:val="19"/>
          <w:szCs w:val="20"/>
          <w:lang w:eastAsia="en-US"/>
        </w:rPr>
        <w:t xml:space="preserve">There is much that can be done now to foster the better application of policies, markets and administrative arrangements that are currently acting as barriers to locally-controlled forest management. </w:t>
      </w:r>
    </w:p>
    <w:p w:rsidR="0019329D" w:rsidRPr="00D86DFF" w:rsidRDefault="0019329D" w:rsidP="001675EE">
      <w:pPr>
        <w:spacing w:line="280" w:lineRule="atLeast"/>
        <w:rPr>
          <w:rFonts w:cs="Arial"/>
          <w:sz w:val="19"/>
          <w:szCs w:val="20"/>
          <w:lang w:eastAsia="en-US"/>
        </w:rPr>
      </w:pPr>
    </w:p>
    <w:p w:rsidR="005D2A53" w:rsidRPr="00D86DFF" w:rsidRDefault="0019329D" w:rsidP="001675EE">
      <w:pPr>
        <w:spacing w:line="280" w:lineRule="atLeast"/>
        <w:rPr>
          <w:rFonts w:cs="Arial"/>
          <w:sz w:val="19"/>
          <w:szCs w:val="20"/>
          <w:lang w:eastAsia="en-US"/>
        </w:rPr>
      </w:pPr>
      <w:r w:rsidRPr="00D86DFF">
        <w:rPr>
          <w:rFonts w:cs="Arial"/>
          <w:sz w:val="19"/>
          <w:szCs w:val="20"/>
          <w:lang w:eastAsia="en-US"/>
        </w:rPr>
        <w:t xml:space="preserve">Perhaps foremost among these is investing sufficient public resources in </w:t>
      </w:r>
      <w:r w:rsidR="00C822CB">
        <w:rPr>
          <w:rFonts w:cs="Arial"/>
          <w:sz w:val="19"/>
          <w:szCs w:val="20"/>
          <w:lang w:eastAsia="en-US"/>
        </w:rPr>
        <w:t>supporting locally-controlled forest management</w:t>
      </w:r>
      <w:r w:rsidRPr="00D86DFF">
        <w:rPr>
          <w:rFonts w:cs="Arial"/>
          <w:sz w:val="19"/>
          <w:szCs w:val="20"/>
          <w:lang w:eastAsia="en-US"/>
        </w:rPr>
        <w:t xml:space="preserve"> processes. This does not just involve “hard” cash injections. It also includes “soft” forms of investment, such as </w:t>
      </w:r>
      <w:r w:rsidR="005D2A53" w:rsidRPr="00D86DFF">
        <w:rPr>
          <w:rFonts w:cs="Arial"/>
          <w:sz w:val="19"/>
          <w:szCs w:val="20"/>
          <w:lang w:eastAsia="en-US"/>
        </w:rPr>
        <w:t>building</w:t>
      </w:r>
      <w:r w:rsidR="000B4857">
        <w:rPr>
          <w:rFonts w:cs="Arial"/>
          <w:sz w:val="19"/>
          <w:szCs w:val="20"/>
          <w:lang w:eastAsia="en-US"/>
        </w:rPr>
        <w:t xml:space="preserve"> capacity</w:t>
      </w:r>
      <w:r w:rsidR="005D2A53" w:rsidRPr="00D86DFF">
        <w:rPr>
          <w:rFonts w:cs="Arial"/>
          <w:sz w:val="19"/>
          <w:szCs w:val="20"/>
          <w:lang w:eastAsia="en-US"/>
        </w:rPr>
        <w:t xml:space="preserve">, </w:t>
      </w:r>
      <w:r w:rsidR="000B4857">
        <w:rPr>
          <w:rFonts w:cs="Arial"/>
          <w:sz w:val="19"/>
          <w:szCs w:val="20"/>
          <w:lang w:eastAsia="en-US"/>
        </w:rPr>
        <w:t xml:space="preserve">developing </w:t>
      </w:r>
      <w:r w:rsidR="005D2A53" w:rsidRPr="00D86DFF">
        <w:rPr>
          <w:rFonts w:cs="Arial"/>
          <w:sz w:val="19"/>
          <w:szCs w:val="20"/>
          <w:lang w:eastAsia="en-US"/>
        </w:rPr>
        <w:t xml:space="preserve">business skills </w:t>
      </w:r>
      <w:r w:rsidR="003D0AD6" w:rsidRPr="00D86DFF">
        <w:rPr>
          <w:rFonts w:cs="Arial"/>
          <w:sz w:val="19"/>
          <w:szCs w:val="20"/>
          <w:lang w:eastAsia="en-US"/>
        </w:rPr>
        <w:t xml:space="preserve">and </w:t>
      </w:r>
      <w:r w:rsidR="005D2A53" w:rsidRPr="00D86DFF">
        <w:rPr>
          <w:rFonts w:cs="Arial"/>
          <w:sz w:val="19"/>
          <w:szCs w:val="20"/>
          <w:lang w:eastAsia="en-US"/>
        </w:rPr>
        <w:t>support</w:t>
      </w:r>
      <w:r w:rsidR="000B4857">
        <w:rPr>
          <w:rFonts w:cs="Arial"/>
          <w:sz w:val="19"/>
          <w:szCs w:val="20"/>
          <w:lang w:eastAsia="en-US"/>
        </w:rPr>
        <w:t>ing</w:t>
      </w:r>
      <w:r w:rsidR="005D2A53" w:rsidRPr="00D86DFF">
        <w:rPr>
          <w:rFonts w:cs="Arial"/>
          <w:sz w:val="19"/>
          <w:szCs w:val="20"/>
          <w:lang w:eastAsia="en-US"/>
        </w:rPr>
        <w:t xml:space="preserve"> the securing of tenure rights over </w:t>
      </w:r>
      <w:r w:rsidRPr="00D86DFF">
        <w:rPr>
          <w:rFonts w:cs="Arial"/>
          <w:sz w:val="19"/>
          <w:szCs w:val="20"/>
          <w:lang w:eastAsia="en-US"/>
        </w:rPr>
        <w:t xml:space="preserve">forest </w:t>
      </w:r>
      <w:r w:rsidR="005D2A53" w:rsidRPr="00D86DFF">
        <w:rPr>
          <w:rFonts w:cs="Arial"/>
          <w:sz w:val="19"/>
          <w:szCs w:val="20"/>
          <w:lang w:eastAsia="en-US"/>
        </w:rPr>
        <w:t>land and resources</w:t>
      </w:r>
      <w:r w:rsidR="006E349C" w:rsidRPr="00D86DFF">
        <w:rPr>
          <w:rStyle w:val="EndnoteReference"/>
          <w:rFonts w:cs="Arial"/>
          <w:sz w:val="19"/>
          <w:szCs w:val="20"/>
          <w:lang w:eastAsia="en-US"/>
        </w:rPr>
        <w:endnoteReference w:id="44"/>
      </w:r>
      <w:r w:rsidR="005D2A53" w:rsidRPr="00D86DFF">
        <w:rPr>
          <w:rFonts w:cs="Arial"/>
          <w:sz w:val="19"/>
          <w:szCs w:val="20"/>
          <w:lang w:eastAsia="en-US"/>
        </w:rPr>
        <w:t>.</w:t>
      </w:r>
      <w:r w:rsidR="006E349C" w:rsidRPr="00D86DFF">
        <w:rPr>
          <w:rFonts w:cs="Arial"/>
          <w:sz w:val="19"/>
          <w:szCs w:val="20"/>
          <w:lang w:eastAsia="en-US"/>
        </w:rPr>
        <w:t xml:space="preserve"> </w:t>
      </w:r>
    </w:p>
    <w:p w:rsidR="005D2A53" w:rsidRPr="00D86DFF" w:rsidRDefault="005D2A53" w:rsidP="001675EE">
      <w:pPr>
        <w:spacing w:line="280" w:lineRule="atLeast"/>
        <w:rPr>
          <w:sz w:val="19"/>
        </w:rPr>
      </w:pPr>
    </w:p>
    <w:p w:rsidR="005D2A53" w:rsidRPr="00D86DFF" w:rsidRDefault="0019329D" w:rsidP="009B7614">
      <w:pPr>
        <w:spacing w:line="280" w:lineRule="atLeast"/>
        <w:rPr>
          <w:sz w:val="19"/>
        </w:rPr>
        <w:sectPr w:rsidR="005D2A53" w:rsidRPr="00D86DFF" w:rsidSect="00CE6F7E">
          <w:endnotePr>
            <w:numFmt w:val="decimal"/>
          </w:endnotePr>
          <w:type w:val="continuous"/>
          <w:pgSz w:w="11906" w:h="16838" w:code="9"/>
          <w:pgMar w:top="1134" w:right="1134" w:bottom="1134" w:left="1134" w:header="567" w:footer="567" w:gutter="0"/>
          <w:cols w:num="2" w:space="567"/>
          <w:docGrid w:linePitch="360"/>
        </w:sectPr>
      </w:pPr>
      <w:r w:rsidRPr="00D86DFF">
        <w:rPr>
          <w:rFonts w:cs="Arial"/>
          <w:sz w:val="19"/>
          <w:szCs w:val="20"/>
          <w:lang w:eastAsia="en-US"/>
        </w:rPr>
        <w:t xml:space="preserve">There are </w:t>
      </w:r>
      <w:r w:rsidR="000B4857">
        <w:rPr>
          <w:rFonts w:cs="Arial"/>
          <w:sz w:val="19"/>
          <w:szCs w:val="20"/>
          <w:lang w:eastAsia="en-US"/>
        </w:rPr>
        <w:t>clearly</w:t>
      </w:r>
      <w:r w:rsidRPr="00D86DFF">
        <w:rPr>
          <w:rFonts w:cs="Arial"/>
          <w:sz w:val="19"/>
          <w:szCs w:val="20"/>
          <w:lang w:eastAsia="en-US"/>
        </w:rPr>
        <w:t xml:space="preserve"> substantial payoffs to </w:t>
      </w:r>
      <w:r w:rsidR="00A33C58">
        <w:rPr>
          <w:rFonts w:cs="Arial"/>
          <w:sz w:val="19"/>
          <w:szCs w:val="20"/>
          <w:lang w:eastAsia="en-US"/>
        </w:rPr>
        <w:t>breaking down</w:t>
      </w:r>
      <w:r w:rsidRPr="00D86DFF">
        <w:rPr>
          <w:rFonts w:cs="Arial"/>
          <w:sz w:val="19"/>
          <w:szCs w:val="20"/>
          <w:lang w:eastAsia="en-US"/>
        </w:rPr>
        <w:t xml:space="preserve"> these barriers. Given the local, national and even global economic values that are generated and economic costs that are saved through locally-controlled forest management, it is time to consider whether, in fact, governments and development donors can afford not to invest in it. </w:t>
      </w:r>
      <w:r w:rsidRPr="00D86DFF">
        <w:rPr>
          <w:sz w:val="19"/>
        </w:rPr>
        <w:t>F</w:t>
      </w:r>
      <w:r w:rsidR="005D2A53" w:rsidRPr="00D86DFF">
        <w:rPr>
          <w:sz w:val="19"/>
        </w:rPr>
        <w:t>ailing to do so may</w:t>
      </w:r>
      <w:r w:rsidRPr="00D86DFF">
        <w:rPr>
          <w:sz w:val="19"/>
        </w:rPr>
        <w:t>,</w:t>
      </w:r>
      <w:r w:rsidR="005D2A53" w:rsidRPr="00D86DFF">
        <w:rPr>
          <w:sz w:val="19"/>
        </w:rPr>
        <w:t xml:space="preserve"> ultimately</w:t>
      </w:r>
      <w:r w:rsidRPr="00D86DFF">
        <w:rPr>
          <w:sz w:val="19"/>
        </w:rPr>
        <w:t>,</w:t>
      </w:r>
      <w:r w:rsidR="005D2A53" w:rsidRPr="00D86DFF">
        <w:rPr>
          <w:sz w:val="19"/>
        </w:rPr>
        <w:t xml:space="preserve"> undermine many of the goals that so many public funds, efforts and time are being channelled into: reduc</w:t>
      </w:r>
      <w:r w:rsidR="007B46DF">
        <w:rPr>
          <w:sz w:val="19"/>
        </w:rPr>
        <w:t>ing</w:t>
      </w:r>
      <w:r w:rsidR="005D2A53" w:rsidRPr="00D86DFF">
        <w:rPr>
          <w:sz w:val="19"/>
        </w:rPr>
        <w:t xml:space="preserve"> poverty, and provid</w:t>
      </w:r>
      <w:r w:rsidR="007B46DF">
        <w:rPr>
          <w:sz w:val="19"/>
        </w:rPr>
        <w:t>ing</w:t>
      </w:r>
      <w:r w:rsidR="005D2A53" w:rsidRPr="00D86DFF">
        <w:rPr>
          <w:sz w:val="19"/>
        </w:rPr>
        <w:t xml:space="preserve"> cost-effective, equitable and sustainable development for all.</w:t>
      </w:r>
    </w:p>
    <w:p w:rsidR="005D2A53" w:rsidRPr="00DA7EE5" w:rsidRDefault="005D2A53" w:rsidP="009A3FF1">
      <w:pPr>
        <w:pStyle w:val="Heading1"/>
        <w:spacing w:after="0"/>
      </w:pPr>
      <w:bookmarkStart w:id="3" w:name="_Toc280937939"/>
      <w:r>
        <w:t>Notes and references</w:t>
      </w:r>
      <w:bookmarkEnd w:id="3"/>
    </w:p>
    <w:sectPr w:rsidR="005D2A53" w:rsidRPr="00DA7EE5" w:rsidSect="009A3FF1">
      <w:endnotePr>
        <w:numFmt w:val="decimal"/>
      </w:endnotePr>
      <w:type w:val="continuous"/>
      <w:pgSz w:w="11906" w:h="16838" w:code="9"/>
      <w:pgMar w:top="1134" w:right="1134" w:bottom="99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4D" w:rsidRPr="007841E9" w:rsidRDefault="0093744D" w:rsidP="007841E9">
      <w:pPr>
        <w:pStyle w:val="Footer"/>
        <w:spacing w:line="240" w:lineRule="auto"/>
        <w:rPr>
          <w:sz w:val="2"/>
          <w:szCs w:val="2"/>
        </w:rPr>
      </w:pPr>
    </w:p>
  </w:endnote>
  <w:endnote w:type="continuationSeparator" w:id="0">
    <w:p w:rsidR="0093744D" w:rsidRPr="007841E9" w:rsidRDefault="0093744D" w:rsidP="007841E9">
      <w:pPr>
        <w:pStyle w:val="Footer"/>
        <w:spacing w:line="240" w:lineRule="auto"/>
        <w:rPr>
          <w:sz w:val="2"/>
          <w:szCs w:val="2"/>
        </w:rPr>
      </w:pPr>
    </w:p>
  </w:endnote>
  <w:endnote w:type="continuationNotice" w:id="1">
    <w:p w:rsidR="0093744D" w:rsidRPr="007841E9" w:rsidRDefault="0093744D" w:rsidP="007841E9">
      <w:pPr>
        <w:spacing w:line="240" w:lineRule="auto"/>
        <w:rPr>
          <w:sz w:val="2"/>
          <w:szCs w:val="2"/>
        </w:rPr>
      </w:pPr>
    </w:p>
  </w:endnote>
  <w:endnote w:id="2">
    <w:p w:rsidR="0063186A" w:rsidRPr="006E1645" w:rsidRDefault="0063186A" w:rsidP="002457BA">
      <w:pPr>
        <w:pStyle w:val="EndnoteText"/>
        <w:spacing w:after="40"/>
        <w:rPr>
          <w:sz w:val="14"/>
          <w:szCs w:val="14"/>
        </w:rPr>
      </w:pPr>
      <w:r w:rsidRPr="006E1645">
        <w:rPr>
          <w:rStyle w:val="EndnoteReference"/>
          <w:sz w:val="14"/>
          <w:szCs w:val="14"/>
        </w:rPr>
        <w:endnoteRef/>
      </w:r>
      <w:r w:rsidRPr="006E1645">
        <w:rPr>
          <w:sz w:val="14"/>
          <w:szCs w:val="14"/>
        </w:rPr>
        <w:t xml:space="preserve"> ‘Branching out: Timber as a growing asset class’. The Economist, Feb 5 2007. </w:t>
      </w:r>
      <w:hyperlink r:id="rId1" w:history="1">
        <w:r w:rsidRPr="006E1645">
          <w:rPr>
            <w:rStyle w:val="Hyperlink"/>
            <w:sz w:val="14"/>
            <w:szCs w:val="14"/>
          </w:rPr>
          <w:t>http://www.economist.com/node/8653021</w:t>
        </w:r>
      </w:hyperlink>
      <w:r w:rsidRPr="006E1645">
        <w:rPr>
          <w:sz w:val="14"/>
          <w:szCs w:val="14"/>
        </w:rPr>
        <w:t xml:space="preserve"> </w:t>
      </w:r>
    </w:p>
  </w:endnote>
  <w:endnote w:id="3">
    <w:p w:rsidR="0063186A" w:rsidRPr="006E1645" w:rsidRDefault="0063186A" w:rsidP="002457BA">
      <w:pPr>
        <w:pStyle w:val="EndnoteText"/>
        <w:spacing w:after="40"/>
        <w:rPr>
          <w:sz w:val="14"/>
          <w:szCs w:val="14"/>
        </w:rPr>
      </w:pPr>
      <w:r w:rsidRPr="006E1645">
        <w:rPr>
          <w:rStyle w:val="EndnoteReference"/>
          <w:sz w:val="14"/>
          <w:szCs w:val="14"/>
        </w:rPr>
        <w:endnoteRef/>
      </w:r>
      <w:r w:rsidRPr="006E1645">
        <w:rPr>
          <w:sz w:val="14"/>
          <w:szCs w:val="14"/>
        </w:rPr>
        <w:t xml:space="preserve"> ‘Timber!’ SmartMoney Magazine, October 16 2001. </w:t>
      </w:r>
      <w:hyperlink r:id="rId2" w:history="1">
        <w:r w:rsidRPr="006E1645">
          <w:rPr>
            <w:rStyle w:val="Hyperlink"/>
            <w:sz w:val="14"/>
            <w:szCs w:val="14"/>
          </w:rPr>
          <w:t>http://www.smartmoney.com/investing/stocks/timber-11903/</w:t>
        </w:r>
      </w:hyperlink>
      <w:r w:rsidRPr="006E1645">
        <w:rPr>
          <w:sz w:val="14"/>
          <w:szCs w:val="14"/>
        </w:rPr>
        <w:t xml:space="preserve"> </w:t>
      </w:r>
    </w:p>
  </w:endnote>
  <w:endnote w:id="4">
    <w:p w:rsidR="0063186A" w:rsidRPr="006E1645" w:rsidRDefault="0063186A" w:rsidP="002457BA">
      <w:pPr>
        <w:pStyle w:val="EndnoteText"/>
        <w:spacing w:after="40"/>
        <w:rPr>
          <w:sz w:val="14"/>
          <w:szCs w:val="14"/>
        </w:rPr>
      </w:pPr>
      <w:r w:rsidRPr="006E1645">
        <w:rPr>
          <w:rStyle w:val="EndnoteReference"/>
          <w:sz w:val="14"/>
          <w:szCs w:val="14"/>
        </w:rPr>
        <w:endnoteRef/>
      </w:r>
      <w:hyperlink r:id="rId3" w:history="1">
        <w:r w:rsidRPr="006E1645">
          <w:rPr>
            <w:rStyle w:val="Hyperlink"/>
            <w:sz w:val="14"/>
            <w:szCs w:val="14"/>
          </w:rPr>
          <w:t>http://www.growingforestpartnerships.org/locally-controlled-forestry</w:t>
        </w:r>
      </w:hyperlink>
      <w:r w:rsidRPr="006E1645">
        <w:rPr>
          <w:sz w:val="14"/>
          <w:szCs w:val="14"/>
        </w:rPr>
        <w:t xml:space="preserve"> </w:t>
      </w:r>
    </w:p>
  </w:endnote>
  <w:endnote w:id="5">
    <w:p w:rsidR="00C10395" w:rsidRDefault="00C10395" w:rsidP="002457BA">
      <w:pPr>
        <w:pStyle w:val="EndnoteText"/>
        <w:spacing w:after="40"/>
      </w:pPr>
      <w:r>
        <w:rPr>
          <w:rStyle w:val="EndnoteReference"/>
        </w:rPr>
        <w:endnoteRef/>
      </w:r>
      <w:r>
        <w:t xml:space="preserve"> </w:t>
      </w:r>
      <w:r w:rsidRPr="006E1645">
        <w:rPr>
          <w:sz w:val="14"/>
          <w:szCs w:val="14"/>
        </w:rPr>
        <w:t>FAO. 2010. Global Forest Resources Assessment 2005: Main Report. FAO Forestry Paper 163, Food and Agriculture Organisation of the United Nations (FAO), Rome</w:t>
      </w:r>
      <w:r w:rsidR="005E65AE">
        <w:rPr>
          <w:sz w:val="14"/>
          <w:szCs w:val="14"/>
        </w:rPr>
        <w:t>. E</w:t>
      </w:r>
      <w:r w:rsidR="005E65AE" w:rsidRPr="006E1645">
        <w:rPr>
          <w:sz w:val="14"/>
          <w:szCs w:val="14"/>
        </w:rPr>
        <w:t xml:space="preserve">xcludes transfer payments </w:t>
      </w:r>
      <w:r w:rsidR="005E65AE">
        <w:rPr>
          <w:sz w:val="14"/>
          <w:szCs w:val="14"/>
        </w:rPr>
        <w:t>and spending on REDD.</w:t>
      </w:r>
    </w:p>
  </w:endnote>
  <w:endnote w:id="6">
    <w:p w:rsidR="0063186A" w:rsidRPr="006E1645" w:rsidRDefault="0063186A" w:rsidP="002457BA">
      <w:pPr>
        <w:pStyle w:val="EndnoteText"/>
        <w:spacing w:after="40"/>
        <w:rPr>
          <w:sz w:val="14"/>
          <w:szCs w:val="14"/>
        </w:rPr>
      </w:pPr>
      <w:r w:rsidRPr="006E1645">
        <w:rPr>
          <w:rStyle w:val="EndnoteReference"/>
          <w:sz w:val="14"/>
          <w:szCs w:val="14"/>
        </w:rPr>
        <w:endnoteRef/>
      </w:r>
      <w:r w:rsidRPr="006E1645">
        <w:rPr>
          <w:sz w:val="14"/>
          <w:szCs w:val="14"/>
        </w:rPr>
        <w:t xml:space="preserve"> “Banks and financial institutions given the tools to move onto the frontline for battle against deforestation” PriceWaterhouseCoopers media release </w:t>
      </w:r>
      <w:r w:rsidRPr="006E1645">
        <w:rPr>
          <w:rFonts w:cs="Arial"/>
          <w:color w:val="191919"/>
          <w:sz w:val="14"/>
          <w:szCs w:val="14"/>
        </w:rPr>
        <w:t xml:space="preserve">26 Feb 2010. </w:t>
      </w:r>
      <w:hyperlink r:id="rId4" w:history="1">
        <w:r w:rsidRPr="006E1645">
          <w:rPr>
            <w:rStyle w:val="Hyperlink"/>
            <w:rFonts w:cs="Arial"/>
            <w:sz w:val="14"/>
            <w:szCs w:val="14"/>
          </w:rPr>
          <w:t>http://www.ukmediacentre.pwc.com/News-Releases/Banks-and-financial-institutions-given-the-tools-to-move-onto-the-frontline-for-battle-against-deforestation-e0d.aspx</w:t>
        </w:r>
      </w:hyperlink>
      <w:r w:rsidRPr="006E1645">
        <w:rPr>
          <w:rFonts w:cs="Arial"/>
          <w:color w:val="191919"/>
          <w:sz w:val="14"/>
          <w:szCs w:val="14"/>
        </w:rPr>
        <w:t xml:space="preserve"> </w:t>
      </w:r>
    </w:p>
  </w:endnote>
  <w:endnote w:id="7">
    <w:p w:rsidR="009B7614" w:rsidRPr="009B7614" w:rsidRDefault="009B7614">
      <w:pPr>
        <w:pStyle w:val="EndnoteText"/>
        <w:rPr>
          <w:sz w:val="14"/>
          <w:szCs w:val="14"/>
        </w:rPr>
      </w:pPr>
      <w:r w:rsidRPr="009B7614">
        <w:rPr>
          <w:rStyle w:val="EndnoteReference"/>
          <w:sz w:val="14"/>
          <w:szCs w:val="14"/>
        </w:rPr>
        <w:endnoteRef/>
      </w:r>
      <w:r w:rsidRPr="009B7614">
        <w:rPr>
          <w:sz w:val="14"/>
          <w:szCs w:val="14"/>
        </w:rPr>
        <w:t xml:space="preserve"> Calibre Consultants and SSC. 2000. Numbers of Forest Dependent People: A Feasibility Study. Research report for project research project ZF0132 of DFID's Forestry Research Programme, Calibre Consultants and The Statistical Services Centre (SSC) of University of Reading, Reading.</w:t>
      </w:r>
    </w:p>
  </w:endnote>
  <w:endnote w:id="8">
    <w:p w:rsidR="009B7614" w:rsidRPr="009B7614" w:rsidRDefault="009B7614">
      <w:pPr>
        <w:pStyle w:val="EndnoteText"/>
        <w:rPr>
          <w:sz w:val="14"/>
          <w:szCs w:val="14"/>
        </w:rPr>
      </w:pPr>
      <w:r w:rsidRPr="009B7614">
        <w:rPr>
          <w:rStyle w:val="EndnoteReference"/>
          <w:sz w:val="14"/>
          <w:szCs w:val="14"/>
        </w:rPr>
        <w:endnoteRef/>
      </w:r>
      <w:r w:rsidRPr="009B7614">
        <w:rPr>
          <w:sz w:val="14"/>
          <w:szCs w:val="14"/>
        </w:rPr>
        <w:t xml:space="preserve"> Byron, N and J.E.M. Arnold. 1997. What Futures for the People of the Tropical Forests? CIFOR Working Paper 19, Centre for International Forestry Research (CIFOR), Bogor</w:t>
      </w:r>
      <w:r>
        <w:rPr>
          <w:sz w:val="14"/>
          <w:szCs w:val="14"/>
        </w:rPr>
        <w:t xml:space="preserve">; </w:t>
      </w:r>
      <w:r w:rsidRPr="009B7614">
        <w:rPr>
          <w:sz w:val="14"/>
          <w:szCs w:val="14"/>
        </w:rPr>
        <w:t>Hobley, M. 2007.</w:t>
      </w:r>
    </w:p>
  </w:endnote>
  <w:endnote w:id="9">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FAO 2010</w:t>
      </w:r>
      <w:r w:rsidR="007554D5">
        <w:rPr>
          <w:sz w:val="14"/>
          <w:szCs w:val="14"/>
        </w:rPr>
        <w:t xml:space="preserve"> op</w:t>
      </w:r>
      <w:r w:rsidR="00F70DA9">
        <w:rPr>
          <w:sz w:val="14"/>
          <w:szCs w:val="14"/>
        </w:rPr>
        <w:t>.</w:t>
      </w:r>
      <w:r w:rsidR="007554D5">
        <w:rPr>
          <w:sz w:val="14"/>
          <w:szCs w:val="14"/>
        </w:rPr>
        <w:t xml:space="preserve"> cit</w:t>
      </w:r>
      <w:r w:rsidRPr="006E1645">
        <w:rPr>
          <w:sz w:val="14"/>
          <w:szCs w:val="14"/>
        </w:rPr>
        <w:t>.</w:t>
      </w:r>
    </w:p>
  </w:endnote>
  <w:endnote w:id="10">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“Developing countries” are defined according to the World Bank classification of low and middle income countries, i.e. those with a 2008 GNI per capita of less than US$11,905.</w:t>
      </w:r>
    </w:p>
  </w:endnote>
  <w:endnote w:id="11">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Scherr, S.J., White, A. and D. Kaimowitz. 2003. A New Agenda for Forest Conservation and Poverty Reduction: Making Markets Work for Low Income Producers. Forest Trends, Washington DC; Sunderlin, W.D., Hatcher J. and M. Liddle. 2008. From Exclusion to Ownership? Challenges and Opportunities in Advancing Forest Tenure Reform. Rights and Resources Initiative, Washington DC; Molnar, A., Scherr S.J and A. Khare. 2004 Who Conserves the World’s Forests? Community-Driven Strategies to Protect Forests &amp; Respect Rights. Forest Trends, Washington DC; Molnar, A., Liddle, M., Bracer, C., Khare, A., White A. and J. Bull. 2007. Community-based forest enterprises in tropical forest countries: status and potential. ITTO Technical Series #28, ITTO, Rights and Resources Initiative and Forest Trends.</w:t>
      </w:r>
    </w:p>
  </w:endnote>
  <w:endnote w:id="12">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White, A. and A. Martin. 2002. Who Owns the World’s Forests? Forest Tenure and Public Forests in Transition. Forest Trends and Center for International Environmental Law, Washington, DC. </w:t>
      </w:r>
    </w:p>
  </w:endnote>
  <w:endnote w:id="13">
    <w:p w:rsidR="00712831" w:rsidRPr="00712831" w:rsidRDefault="00712831" w:rsidP="002457BA">
      <w:pPr>
        <w:pStyle w:val="EndnoteText"/>
        <w:spacing w:after="40"/>
        <w:rPr>
          <w:sz w:val="14"/>
          <w:szCs w:val="14"/>
        </w:rPr>
      </w:pPr>
      <w:r w:rsidRPr="00712831">
        <w:rPr>
          <w:rStyle w:val="EndnoteReference"/>
          <w:sz w:val="14"/>
          <w:szCs w:val="14"/>
        </w:rPr>
        <w:endnoteRef/>
      </w:r>
      <w:r w:rsidRPr="00712831">
        <w:rPr>
          <w:sz w:val="14"/>
          <w:szCs w:val="14"/>
        </w:rPr>
        <w:t xml:space="preserve"> Alden Wily, L. 2010. Whose Land Are You Giving Away, Mr. President? Paper presented to the Annual World Bank Land Policy &amp; Administration Conference, Washington.</w:t>
      </w:r>
    </w:p>
  </w:endnote>
  <w:endnote w:id="14">
    <w:p w:rsidR="00ED7C55" w:rsidRPr="00ED7C55" w:rsidRDefault="00ED7C55" w:rsidP="002457BA">
      <w:pPr>
        <w:pStyle w:val="EndnoteText"/>
        <w:spacing w:after="40"/>
        <w:rPr>
          <w:sz w:val="14"/>
          <w:szCs w:val="14"/>
        </w:rPr>
      </w:pPr>
      <w:r w:rsidRPr="00ED7C55">
        <w:rPr>
          <w:rStyle w:val="EndnoteReference"/>
          <w:sz w:val="14"/>
          <w:szCs w:val="14"/>
        </w:rPr>
        <w:endnoteRef/>
      </w:r>
      <w:r w:rsidRPr="00ED7C55">
        <w:rPr>
          <w:sz w:val="14"/>
          <w:szCs w:val="14"/>
        </w:rPr>
        <w:t xml:space="preserve"> Alden Wily, L. 2011. The tragedy of public lands: The fate of the commons under global commercial pressure. International Land Coalition, Rome.</w:t>
      </w:r>
    </w:p>
  </w:endnote>
  <w:endnote w:id="15">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Laestadius, L., Saint-Laurent, C., Minnemeyer, S. and P. Potapov. 2010. A World of Opportunity: the World’s Forests from a Restoration Perspective. Global Partnership on Forest Landscape Restoration.</w:t>
      </w:r>
    </w:p>
  </w:endnote>
  <w:endnote w:id="16">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There are also an estimated 25 million forest owners in North America, Australia and Europe who fit the description of locally controlled forestry (from IFFA, cited in Elson, D. 2010. Background Paper. The Forests Dialogue, Investing in Locally Controlled Forestry: Reviewing the Issues from a Financial Investment Perspective, London).</w:t>
      </w:r>
    </w:p>
  </w:endnote>
  <w:endnote w:id="17">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World Bank. 2004. Sustaining Forests: A Development Strategy. World Bank, Washington DC.</w:t>
      </w:r>
    </w:p>
  </w:endnote>
  <w:endnote w:id="18">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World Bank 2004 op. cit.</w:t>
      </w:r>
    </w:p>
  </w:endnote>
  <w:endnote w:id="19">
    <w:p w:rsidR="005D2A53" w:rsidRPr="006E1645" w:rsidRDefault="005D2A53" w:rsidP="002457BA">
      <w:pPr>
        <w:pStyle w:val="EndnoteText"/>
        <w:spacing w:after="40"/>
        <w:rPr>
          <w:sz w:val="14"/>
          <w:szCs w:val="14"/>
        </w:rPr>
      </w:pPr>
      <w:r w:rsidRPr="006E1645">
        <w:rPr>
          <w:rStyle w:val="EndnoteReference"/>
          <w:sz w:val="14"/>
          <w:szCs w:val="14"/>
        </w:rPr>
        <w:endnoteRef/>
      </w:r>
      <w:r w:rsidR="007554D5">
        <w:rPr>
          <w:sz w:val="14"/>
          <w:szCs w:val="14"/>
        </w:rPr>
        <w:t xml:space="preserve"> </w:t>
      </w:r>
      <w:r w:rsidRPr="006E1645">
        <w:rPr>
          <w:sz w:val="14"/>
          <w:szCs w:val="14"/>
        </w:rPr>
        <w:t>World Bank 2004 op. cit.</w:t>
      </w:r>
    </w:p>
  </w:endnote>
  <w:endnote w:id="20">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Scherr </w:t>
      </w:r>
      <w:r w:rsidR="0008081E">
        <w:rPr>
          <w:sz w:val="14"/>
          <w:szCs w:val="14"/>
        </w:rPr>
        <w:t>et al</w:t>
      </w:r>
      <w:r w:rsidRPr="006E1645">
        <w:rPr>
          <w:sz w:val="14"/>
          <w:szCs w:val="14"/>
        </w:rPr>
        <w:t xml:space="preserve"> 2003 op. cit., </w:t>
      </w:r>
      <w:r w:rsidRPr="006E1645">
        <w:rPr>
          <w:rFonts w:cs="Arial"/>
          <w:sz w:val="14"/>
          <w:szCs w:val="14"/>
        </w:rPr>
        <w:t xml:space="preserve">White and Martin 2002 op. cit., </w:t>
      </w:r>
      <w:r w:rsidRPr="006E1645">
        <w:rPr>
          <w:sz w:val="14"/>
          <w:szCs w:val="14"/>
        </w:rPr>
        <w:t>World Bank 2004 op. cit.</w:t>
      </w:r>
    </w:p>
  </w:endnote>
  <w:endnote w:id="21">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Scherr </w:t>
      </w:r>
      <w:r w:rsidR="0008081E">
        <w:rPr>
          <w:sz w:val="14"/>
          <w:szCs w:val="14"/>
        </w:rPr>
        <w:t>et al</w:t>
      </w:r>
      <w:r w:rsidRPr="006E1645">
        <w:rPr>
          <w:sz w:val="14"/>
          <w:szCs w:val="14"/>
        </w:rPr>
        <w:t xml:space="preserve"> 2003 op. cit., World Bank 2004 op. cit.</w:t>
      </w:r>
    </w:p>
  </w:endnote>
  <w:endnote w:id="22">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Biodiversity Support Program &amp; Bushmeat Crisis Taskforce. 2001. Bushmeat Crisis Causes, Consequences and Controls. Issues Brief #23, Congo Basin Information Series, Central African Regional Program for the Environment (CARPE), Kinshasa.</w:t>
      </w:r>
    </w:p>
  </w:endnote>
  <w:endnote w:id="23">
    <w:p w:rsidR="005D2A53" w:rsidRPr="006E1645" w:rsidRDefault="005D2A53" w:rsidP="002457BA">
      <w:pPr>
        <w:pStyle w:val="EndnoteText"/>
        <w:spacing w:after="40"/>
        <w:rPr>
          <w:rFonts w:cs="Arial"/>
          <w:sz w:val="14"/>
          <w:szCs w:val="14"/>
        </w:rPr>
      </w:pPr>
      <w:r w:rsidRPr="006E1645">
        <w:rPr>
          <w:rStyle w:val="EndnoteReference"/>
          <w:rFonts w:cs="Arial"/>
          <w:sz w:val="14"/>
          <w:szCs w:val="14"/>
        </w:rPr>
        <w:endnoteRef/>
      </w:r>
      <w:r w:rsidRPr="006E1645">
        <w:rPr>
          <w:rFonts w:cs="Arial"/>
          <w:sz w:val="14"/>
          <w:szCs w:val="14"/>
        </w:rPr>
        <w:t xml:space="preserve"> De Merode, E., Homewood, K. and G. Cowlishaw, 2003, Wild resources and livelihoods of poor households in Democratic Republic of Congo. Wildlife Policy Briefing Paper No. 1, Overseas Development Institute, London.</w:t>
      </w:r>
    </w:p>
  </w:endnote>
  <w:endnote w:id="24">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t>
      </w:r>
      <w:r w:rsidR="00F70DA9" w:rsidRPr="00F70DA9">
        <w:rPr>
          <w:sz w:val="14"/>
          <w:szCs w:val="14"/>
        </w:rPr>
        <w:t>Ingram, V. 2009. The hidden costs and values of NTFP exploitation in the Congo Basin. Paper presented at XIII World Forestry Congress, Buenos Aires.</w:t>
      </w:r>
    </w:p>
  </w:endnote>
  <w:endnote w:id="25">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t>
      </w:r>
      <w:r w:rsidRPr="006E1645">
        <w:rPr>
          <w:snapToGrid w:val="0"/>
          <w:sz w:val="14"/>
          <w:szCs w:val="14"/>
          <w:lang w:eastAsia="es-ES"/>
        </w:rPr>
        <w:t xml:space="preserve">Emerton, L., 2005, </w:t>
      </w:r>
      <w:r w:rsidRPr="006E1645">
        <w:rPr>
          <w:sz w:val="14"/>
          <w:szCs w:val="14"/>
        </w:rPr>
        <w:t>Making the Economic Links Between Biodiversity and Poverty Reduction: The Case of Lao PDR, IUCN — The World Conservation Union, Ecosystems and Livelihoods Group Asia, Colombo.</w:t>
      </w:r>
    </w:p>
  </w:endnote>
  <w:endnote w:id="26">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t>
      </w:r>
      <w:r w:rsidRPr="006E1645">
        <w:rPr>
          <w:rFonts w:cs="Arial"/>
          <w:bCs/>
          <w:sz w:val="14"/>
          <w:szCs w:val="14"/>
        </w:rPr>
        <w:t>Kasthala, G., Hepelwa, A., Hamiss, H., Kwayu, E., Emerton, L., Springate-Baginski, O., Allen, D., and W. Darwall (2008) An integrated assessment of the biodiversity, livelihood and economic value of wetlands in Mtanza-Msona Village, Tanzania. Tanzania Country Office, International Union for Conservation of Nature, Dar es Salaam.</w:t>
      </w:r>
    </w:p>
  </w:endnote>
  <w:endnote w:id="27">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Sampson, R.N. 2005. Timber, Fuel, and Fiber. Chapter 9 in Millennium Ecosystem Assessment. Ecosystems and Human Well-being: Current State and Trends. Millennium Ecosystem Assessment Series Vol. 1., Island Press, Washington DC.</w:t>
      </w:r>
    </w:p>
  </w:endnote>
  <w:endnote w:id="28">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White, A. and A. Martin. 2002. Strategies for strengthening community property rights over forests: lessons and opportunities for practitioners. Forest Trends, Washington DC.</w:t>
      </w:r>
    </w:p>
  </w:endnote>
  <w:endnote w:id="29">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World Bank 2004 op. cit.</w:t>
      </w:r>
    </w:p>
  </w:endnote>
  <w:endnote w:id="30">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Scherr </w:t>
      </w:r>
      <w:r w:rsidRPr="006E1645">
        <w:rPr>
          <w:i/>
          <w:sz w:val="14"/>
          <w:szCs w:val="14"/>
        </w:rPr>
        <w:t>et al</w:t>
      </w:r>
      <w:r w:rsidRPr="006E1645">
        <w:rPr>
          <w:sz w:val="14"/>
          <w:szCs w:val="14"/>
        </w:rPr>
        <w:t xml:space="preserve"> 2003 op. cit.</w:t>
      </w:r>
    </w:p>
  </w:endnote>
  <w:endnote w:id="31">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Vedeld, P., Angelsen, A., Sjaastad, E. And G.K. Berg. 2004. Counting on the Environment Forest Incomes and the Rural Poor. Environment Department, Environmental Economics Series No. 98, World Bank, Washington DC. Includes wild foods, fuelwood, fodder, timber, grass and thatch, wild medicine and other wood and non-wood products; we have excluded figures on gold-panning which are included in the original study.</w:t>
      </w:r>
    </w:p>
  </w:endnote>
  <w:endnote w:id="32">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de Groot, R., Kumar, P., van der Ploeg S. and P. Sukhdev. 2010. Estimates of Monetary Values of Ecosystem Services. Report prepared for TEEB 2.</w:t>
      </w:r>
    </w:p>
  </w:endnote>
  <w:endnote w:id="33">
    <w:p w:rsidR="00941CAB" w:rsidRPr="006E1645" w:rsidRDefault="00941CAB" w:rsidP="002457BA">
      <w:pPr>
        <w:pStyle w:val="EndnoteText"/>
        <w:spacing w:after="40"/>
        <w:rPr>
          <w:sz w:val="14"/>
          <w:szCs w:val="14"/>
        </w:rPr>
      </w:pPr>
      <w:r w:rsidRPr="006E1645">
        <w:rPr>
          <w:rStyle w:val="EndnoteReference"/>
          <w:sz w:val="14"/>
          <w:szCs w:val="14"/>
        </w:rPr>
        <w:endnoteRef/>
      </w:r>
      <w:r w:rsidRPr="006E1645">
        <w:rPr>
          <w:sz w:val="14"/>
          <w:szCs w:val="14"/>
        </w:rPr>
        <w:t xml:space="preserve"> Shvidenko, A., Barber, C.V. and R. Persson. 2005. Forest and Woodland Systems. Chapter 21 in Millennium Ecosystem Assessment. Ecosystems and Human Well-being: Current State and Trends. Millennium Ecosystem Assessment Series Vol. 1., Island Press, Washington DC; World Bank 2004 op. cit.</w:t>
      </w:r>
    </w:p>
  </w:endnote>
  <w:endnote w:id="34">
    <w:p w:rsidR="00941CAB" w:rsidRPr="006E1645" w:rsidRDefault="00941CAB" w:rsidP="002457BA">
      <w:pPr>
        <w:pStyle w:val="EndnoteText"/>
        <w:spacing w:after="40"/>
        <w:rPr>
          <w:sz w:val="14"/>
          <w:szCs w:val="14"/>
        </w:rPr>
      </w:pPr>
      <w:r w:rsidRPr="006E1645">
        <w:rPr>
          <w:rStyle w:val="EndnoteReference"/>
          <w:sz w:val="14"/>
          <w:szCs w:val="14"/>
        </w:rPr>
        <w:endnoteRef/>
      </w:r>
      <w:r w:rsidRPr="006E1645">
        <w:rPr>
          <w:sz w:val="14"/>
          <w:szCs w:val="14"/>
        </w:rPr>
        <w:t xml:space="preserve"> Sampson 2005 op. cit.</w:t>
      </w:r>
    </w:p>
  </w:endnote>
  <w:endnote w:id="35">
    <w:p w:rsidR="00941CAB" w:rsidRPr="006E1645" w:rsidRDefault="00941CAB" w:rsidP="002457BA">
      <w:pPr>
        <w:pStyle w:val="EndnoteText"/>
        <w:spacing w:after="40"/>
        <w:rPr>
          <w:sz w:val="14"/>
          <w:szCs w:val="14"/>
        </w:rPr>
      </w:pPr>
      <w:r w:rsidRPr="006E1645">
        <w:rPr>
          <w:rStyle w:val="EndnoteReference"/>
          <w:sz w:val="14"/>
          <w:szCs w:val="14"/>
        </w:rPr>
        <w:endnoteRef/>
      </w:r>
      <w:r w:rsidRPr="006E1645">
        <w:rPr>
          <w:sz w:val="14"/>
          <w:szCs w:val="14"/>
        </w:rPr>
        <w:t xml:space="preserve"> Globally, forest-based employment is thought to account for something between 50 million and 100 million full-time job equivalents. It is estimated that eighty percent of these jobs are in the developing world Sampson 2005 op. cit.</w:t>
      </w:r>
    </w:p>
  </w:endnote>
  <w:endnote w:id="36">
    <w:p w:rsidR="00941CAB" w:rsidRPr="006E1645" w:rsidRDefault="00941CAB" w:rsidP="002457BA">
      <w:pPr>
        <w:pStyle w:val="EndnoteText"/>
        <w:spacing w:after="40"/>
        <w:rPr>
          <w:sz w:val="14"/>
          <w:szCs w:val="14"/>
        </w:rPr>
      </w:pPr>
      <w:r w:rsidRPr="006E1645">
        <w:rPr>
          <w:rStyle w:val="EndnoteReference"/>
          <w:sz w:val="14"/>
          <w:szCs w:val="14"/>
        </w:rPr>
        <w:endnoteRef/>
      </w:r>
      <w:r w:rsidRPr="006E1645">
        <w:rPr>
          <w:sz w:val="14"/>
          <w:szCs w:val="14"/>
        </w:rPr>
        <w:t xml:space="preserve"> Mayers, J. 2006. Small and medium-sized forestry enterprises: Are they the best bet for reducing poverty and sustaining forests? ITTO Tropical Forest Update 16(2): 10-12.</w:t>
      </w:r>
    </w:p>
  </w:endnote>
  <w:endnote w:id="37">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t>
      </w:r>
      <w:r w:rsidRPr="006E1645">
        <w:rPr>
          <w:rFonts w:cs="Arial"/>
          <w:sz w:val="14"/>
          <w:szCs w:val="14"/>
        </w:rPr>
        <w:t xml:space="preserve">Emerton, L., </w:t>
      </w:r>
      <w:r w:rsidRPr="006E1645">
        <w:rPr>
          <w:rFonts w:cs="Arial"/>
          <w:bCs/>
          <w:sz w:val="14"/>
          <w:szCs w:val="14"/>
        </w:rPr>
        <w:t>Bouttavong, S., Kettavong, L., Manivong, S. and Sivannavong, S., 2002, Lao PDR Biodiversity: Economic Assessment</w:t>
      </w:r>
      <w:r w:rsidRPr="006E1645">
        <w:rPr>
          <w:rFonts w:cs="Arial"/>
          <w:sz w:val="14"/>
          <w:szCs w:val="14"/>
        </w:rPr>
        <w:t>, Science, Technology and Environment Agency, Vientiane.</w:t>
      </w:r>
    </w:p>
  </w:endnote>
  <w:endnote w:id="38">
    <w:p w:rsidR="005D2A53" w:rsidRPr="006E1645" w:rsidRDefault="005D2A53" w:rsidP="002457BA">
      <w:pPr>
        <w:pStyle w:val="EndnoteText"/>
        <w:spacing w:after="40"/>
        <w:rPr>
          <w:rFonts w:cs="Arial"/>
          <w:sz w:val="14"/>
          <w:szCs w:val="14"/>
        </w:rPr>
      </w:pPr>
      <w:r w:rsidRPr="006E1645">
        <w:rPr>
          <w:rStyle w:val="EndnoteReference"/>
          <w:rFonts w:cs="Arial"/>
          <w:sz w:val="14"/>
          <w:szCs w:val="14"/>
        </w:rPr>
        <w:endnoteRef/>
      </w:r>
      <w:r w:rsidRPr="006E1645">
        <w:rPr>
          <w:rFonts w:cs="Arial"/>
          <w:sz w:val="14"/>
          <w:szCs w:val="14"/>
        </w:rPr>
        <w:t xml:space="preserve"> </w:t>
      </w:r>
      <w:r w:rsidR="00F70DA9" w:rsidRPr="00F70DA9">
        <w:rPr>
          <w:rFonts w:cs="Arial"/>
          <w:sz w:val="14"/>
          <w:szCs w:val="14"/>
        </w:rPr>
        <w:t>OECD, 2008, Pro-Poor Growth and Natural Resources: the Economics and Politics. Development Cooperation Directorate, Development</w:t>
      </w:r>
      <w:r w:rsidR="00F655C8">
        <w:rPr>
          <w:rFonts w:cs="Arial"/>
          <w:sz w:val="14"/>
          <w:szCs w:val="14"/>
        </w:rPr>
        <w:t xml:space="preserve"> Assistance Committee, Organisa</w:t>
      </w:r>
      <w:r w:rsidR="00F70DA9" w:rsidRPr="00F70DA9">
        <w:rPr>
          <w:rFonts w:cs="Arial"/>
          <w:sz w:val="14"/>
          <w:szCs w:val="14"/>
        </w:rPr>
        <w:t>t</w:t>
      </w:r>
      <w:r w:rsidR="00F655C8">
        <w:rPr>
          <w:rFonts w:cs="Arial"/>
          <w:sz w:val="14"/>
          <w:szCs w:val="14"/>
        </w:rPr>
        <w:t>i</w:t>
      </w:r>
      <w:r w:rsidR="00F70DA9" w:rsidRPr="00F70DA9">
        <w:rPr>
          <w:rFonts w:cs="Arial"/>
          <w:sz w:val="14"/>
          <w:szCs w:val="14"/>
        </w:rPr>
        <w:t>on for Economic Cooperation and Development, Paris</w:t>
      </w:r>
      <w:r w:rsidR="00F70DA9">
        <w:rPr>
          <w:rFonts w:cs="Arial"/>
          <w:sz w:val="14"/>
          <w:szCs w:val="14"/>
        </w:rPr>
        <w:t>.</w:t>
      </w:r>
    </w:p>
  </w:endnote>
  <w:endnote w:id="39">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Wu, S., Hou, Y. and G. Yuan. 2010. Valuation of forest ecosystem goods and services and forest natural capital of the Beijing municipality, China. Unasylva 234/235(6): 28-36.</w:t>
      </w:r>
    </w:p>
  </w:endnote>
  <w:endnote w:id="40">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de Groot. 2010. Integrating the ecological and economic dimensions in biodiversity and ecosystem service valuation. Report prepared for TEEB 2.</w:t>
      </w:r>
    </w:p>
  </w:endnote>
  <w:endnote w:id="41">
    <w:p w:rsidR="005D2A53" w:rsidRPr="006E1645" w:rsidRDefault="005D2A53" w:rsidP="002457BA">
      <w:pPr>
        <w:pStyle w:val="EndnoteText"/>
        <w:spacing w:after="40"/>
        <w:rPr>
          <w:sz w:val="14"/>
          <w:szCs w:val="14"/>
        </w:rPr>
      </w:pPr>
      <w:r w:rsidRPr="006E1645">
        <w:rPr>
          <w:rStyle w:val="EndnoteReference"/>
          <w:sz w:val="14"/>
          <w:szCs w:val="14"/>
        </w:rPr>
        <w:endnoteRef/>
      </w:r>
      <w:r w:rsidRPr="006E1645">
        <w:rPr>
          <w:sz w:val="14"/>
          <w:szCs w:val="14"/>
        </w:rPr>
        <w:t xml:space="preserve"> L. Braat &amp; P. ten Brink (eds.) 2008. The Cost of Policy Inaction: the case of not meeting the 2010 biodiversity target, Markandya, A., Chiabai, A., Ding, H., Nunes P. and C. Travisi (2008) Economic Valuation of Forest Ecosystem Services: Methodology and Monetary Estimates.</w:t>
      </w:r>
    </w:p>
  </w:endnote>
  <w:endnote w:id="42">
    <w:p w:rsidR="005D2A53" w:rsidRPr="009A3FF1" w:rsidRDefault="005D2A53" w:rsidP="002457BA">
      <w:pPr>
        <w:pStyle w:val="EndnoteText"/>
        <w:spacing w:after="40"/>
        <w:rPr>
          <w:sz w:val="14"/>
          <w:szCs w:val="14"/>
          <w:lang w:val="fr-CH"/>
        </w:rPr>
      </w:pPr>
      <w:r w:rsidRPr="006E1645">
        <w:rPr>
          <w:rStyle w:val="EndnoteReference"/>
          <w:sz w:val="14"/>
          <w:szCs w:val="14"/>
        </w:rPr>
        <w:endnoteRef/>
      </w:r>
      <w:r w:rsidRPr="009A3FF1">
        <w:rPr>
          <w:sz w:val="14"/>
          <w:szCs w:val="14"/>
          <w:lang w:val="fr-CH"/>
        </w:rPr>
        <w:t xml:space="preserve"> de Groot </w:t>
      </w:r>
      <w:r w:rsidRPr="009A3FF1">
        <w:rPr>
          <w:i/>
          <w:sz w:val="14"/>
          <w:szCs w:val="14"/>
          <w:lang w:val="fr-CH"/>
        </w:rPr>
        <w:t>et al</w:t>
      </w:r>
      <w:r w:rsidRPr="009A3FF1">
        <w:rPr>
          <w:sz w:val="14"/>
          <w:szCs w:val="14"/>
          <w:lang w:val="fr-CH"/>
        </w:rPr>
        <w:t xml:space="preserve"> 2010 op. cit.</w:t>
      </w:r>
    </w:p>
  </w:endnote>
  <w:endnote w:id="43">
    <w:p w:rsidR="001675EE" w:rsidRPr="006E349C" w:rsidRDefault="001675EE" w:rsidP="001675EE">
      <w:pPr>
        <w:pStyle w:val="EndnoteText"/>
        <w:spacing w:after="40"/>
        <w:rPr>
          <w:sz w:val="14"/>
          <w:szCs w:val="14"/>
        </w:rPr>
      </w:pPr>
      <w:r w:rsidRPr="006E1645">
        <w:rPr>
          <w:rStyle w:val="EndnoteReference"/>
          <w:sz w:val="14"/>
          <w:szCs w:val="14"/>
        </w:rPr>
        <w:endnoteRef/>
      </w:r>
      <w:r w:rsidRPr="006E1645">
        <w:rPr>
          <w:sz w:val="14"/>
          <w:szCs w:val="14"/>
        </w:rPr>
        <w:t xml:space="preserve"> Includes key provisioning, regulating, supporting and cultural services; taken from Costanza, R., R. d'Arge, R. de Groot, S. Farber, M. Grasso, B. Hannon, K. Limburg, S. Naeem, R.V. O’Neill, J. Paruelo, R.G. Raskin, P. Sutton and M. van den Belt. 1997. The value of the world's ecosystem services </w:t>
      </w:r>
      <w:r w:rsidRPr="006E349C">
        <w:rPr>
          <w:sz w:val="14"/>
          <w:szCs w:val="14"/>
        </w:rPr>
        <w:t>and natural capital. Nature 387: 253-260.</w:t>
      </w:r>
    </w:p>
  </w:endnote>
  <w:endnote w:id="44">
    <w:p w:rsidR="006E349C" w:rsidRPr="006E349C" w:rsidRDefault="006E349C" w:rsidP="002457BA">
      <w:pPr>
        <w:pStyle w:val="EndnoteText"/>
        <w:spacing w:after="40"/>
        <w:rPr>
          <w:sz w:val="14"/>
          <w:szCs w:val="14"/>
        </w:rPr>
      </w:pPr>
      <w:r w:rsidRPr="006E349C">
        <w:rPr>
          <w:rStyle w:val="EndnoteReference"/>
          <w:sz w:val="14"/>
          <w:szCs w:val="14"/>
        </w:rPr>
        <w:endnoteRef/>
      </w:r>
      <w:r w:rsidRPr="006E349C">
        <w:rPr>
          <w:sz w:val="14"/>
          <w:szCs w:val="14"/>
        </w:rPr>
        <w:t xml:space="preserve"> Elson 2010 op. cit.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FB" w:rsidRDefault="0021468F">
    <w:pPr>
      <w:pStyle w:val="Footer"/>
    </w:pPr>
    <w:r w:rsidRPr="0021468F">
      <w:rPr>
        <w:noProof/>
      </w:rPr>
      <w:pict>
        <v:shapetype id="_x0000_t202" coordsize="21600,21600" o:spt="202" path="m,l,21600r21600,l21600,xe">
          <v:stroke joinstyle="miter"/>
          <v:path gradientshapeok="t" o:connecttype="rect"/>
        </v:shapetype>
        <v:shape id="_x0000_s5121" type="#_x0000_t202" style="position:absolute;left:0;text-align:left;margin-left:-43.45pt;margin-top:760.2pt;width:596.7pt;height:23.2pt;z-index:251658240;mso-wrap-distance-top:12pt;mso-wrap-distance-bottom:12pt;mso-position-vertical-relative:page" fillcolor="#060" stroked="f">
          <v:textbox style="mso-next-textbox:#_x0000_s5121" inset=",2.5mm,,2.5mm">
            <w:txbxContent>
              <w:p w:rsidR="009C2FFB" w:rsidRPr="00B50521" w:rsidRDefault="009C2FFB" w:rsidP="009C2FFB">
                <w:pPr>
                  <w:pStyle w:val="Header"/>
                  <w:spacing w:line="240" w:lineRule="auto"/>
                  <w:ind w:left="851"/>
                </w:pPr>
                <w:r w:rsidRPr="00B50521">
                  <w:t xml:space="preserve">MARKETS AND INCENTIVES </w:t>
                </w:r>
                <w:r>
                  <w:t xml:space="preserve">FOR </w:t>
                </w:r>
                <w:r w:rsidRPr="00B50521">
                  <w:t>LIVELIH</w:t>
                </w:r>
                <w:r>
                  <w:t xml:space="preserve">OODS AND LANDSCAPES SERIES NO. </w:t>
                </w:r>
                <w:r w:rsidR="00CE6F7E">
                  <w:t>4</w:t>
                </w:r>
              </w:p>
            </w:txbxContent>
          </v:textbox>
          <w10:wrap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F1" w:rsidRPr="009A3FF1" w:rsidRDefault="009A3FF1" w:rsidP="009A3FF1">
    <w:pPr>
      <w:pStyle w:val="Footer"/>
      <w:jc w:val="center"/>
      <w:rPr>
        <w:sz w:val="12"/>
        <w:szCs w:val="12"/>
      </w:rPr>
    </w:pPr>
    <w:r w:rsidRPr="009A3FF1">
      <w:rPr>
        <w:sz w:val="12"/>
        <w:szCs w:val="12"/>
      </w:rPr>
      <w:t xml:space="preserve">For more information on the IUCN Livelihoods and Landscapes Strategy: </w:t>
    </w:r>
    <w:hyperlink r:id="rId1" w:history="1">
      <w:r w:rsidRPr="009A3FF1">
        <w:rPr>
          <w:rStyle w:val="Hyperlink"/>
          <w:sz w:val="12"/>
          <w:szCs w:val="12"/>
        </w:rPr>
        <w:t>http://www.iucn.org/forest/lls</w:t>
      </w:r>
    </w:hyperlink>
  </w:p>
  <w:p w:rsidR="009A3FF1" w:rsidRPr="009A3FF1" w:rsidRDefault="009A3FF1" w:rsidP="009A3FF1">
    <w:pPr>
      <w:pStyle w:val="Footer"/>
      <w:jc w:val="center"/>
      <w:rPr>
        <w:sz w:val="12"/>
        <w:szCs w:val="12"/>
      </w:rPr>
    </w:pPr>
    <w:r w:rsidRPr="009A3FF1">
      <w:rPr>
        <w:sz w:val="12"/>
        <w:szCs w:val="12"/>
      </w:rPr>
      <w:t xml:space="preserve">Or contact Stephen Kelleher, Deputy Head, Forest Conservation Programme: </w:t>
    </w:r>
    <w:hyperlink r:id="rId2" w:history="1">
      <w:r w:rsidRPr="009A3FF1">
        <w:rPr>
          <w:rStyle w:val="Hyperlink"/>
          <w:sz w:val="12"/>
          <w:szCs w:val="12"/>
        </w:rPr>
        <w:t>stephen.kelleher@iucn.org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3B" w:rsidRDefault="0093744D" w:rsidP="0020487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4D" w:rsidRDefault="0093744D" w:rsidP="005D2A53">
      <w:r>
        <w:separator/>
      </w:r>
    </w:p>
  </w:footnote>
  <w:footnote w:type="continuationSeparator" w:id="0">
    <w:p w:rsidR="0093744D" w:rsidRDefault="0093744D" w:rsidP="005D2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D5" w:rsidRDefault="007A3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D5" w:rsidRDefault="007A3D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D5" w:rsidRDefault="007A3D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D5" w:rsidRDefault="007A3DD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3B" w:rsidRPr="005D2A53" w:rsidRDefault="0093744D" w:rsidP="005D2A5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D5" w:rsidRDefault="007A3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13F"/>
    <w:multiLevelType w:val="multilevel"/>
    <w:tmpl w:val="0A8E378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4315E2"/>
    <w:multiLevelType w:val="hybridMultilevel"/>
    <w:tmpl w:val="8D5470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DE3E22"/>
    <w:multiLevelType w:val="multilevel"/>
    <w:tmpl w:val="0A8E378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443C26"/>
    <w:multiLevelType w:val="multilevel"/>
    <w:tmpl w:val="3252D1A4"/>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14168A"/>
    <w:multiLevelType w:val="hybridMultilevel"/>
    <w:tmpl w:val="5CA238D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CB31377"/>
    <w:multiLevelType w:val="hybridMultilevel"/>
    <w:tmpl w:val="CFA2024E"/>
    <w:lvl w:ilvl="0" w:tplc="749E6EA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2C42F2"/>
    <w:multiLevelType w:val="multilevel"/>
    <w:tmpl w:val="6B423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9741D1"/>
    <w:multiLevelType w:val="hybridMultilevel"/>
    <w:tmpl w:val="6B4238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66751A0"/>
    <w:multiLevelType w:val="multilevel"/>
    <w:tmpl w:val="CFA2024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EB679A5"/>
    <w:multiLevelType w:val="hybridMultilevel"/>
    <w:tmpl w:val="0A8E378E"/>
    <w:lvl w:ilvl="0" w:tplc="D31431F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381BA5"/>
    <w:multiLevelType w:val="hybridMultilevel"/>
    <w:tmpl w:val="867A9E98"/>
    <w:lvl w:ilvl="0" w:tplc="A8D8DE20">
      <w:start w:val="1"/>
      <w:numFmt w:val="decimal"/>
      <w:lvlText w:val="%1."/>
      <w:lvlJc w:val="left"/>
      <w:pPr>
        <w:tabs>
          <w:tab w:val="num" w:pos="720"/>
        </w:tabs>
        <w:ind w:left="720" w:hanging="360"/>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10"/>
  </w:num>
  <w:num w:numId="5">
    <w:abstractNumId w:val="3"/>
  </w:num>
  <w:num w:numId="6">
    <w:abstractNumId w:val="6"/>
  </w:num>
  <w:num w:numId="7">
    <w:abstractNumId w:val="5"/>
  </w:num>
  <w:num w:numId="8">
    <w:abstractNumId w:val="8"/>
  </w:num>
  <w:num w:numId="9">
    <w:abstractNumId w:val="9"/>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24578">
      <o:colormru v:ext="edit" colors="#060"/>
    </o:shapedefaults>
    <o:shapelayout v:ext="edit">
      <o:idmap v:ext="edit" data="5"/>
    </o:shapelayout>
  </w:hdrShapeDefaults>
  <w:footnotePr>
    <w:footnote w:id="-1"/>
    <w:footnote w:id="0"/>
  </w:footnotePr>
  <w:endnotePr>
    <w:numFmt w:val="decimal"/>
    <w:endnote w:id="-1"/>
    <w:endnote w:id="0"/>
    <w:endnote w:id="1"/>
  </w:endnotePr>
  <w:compat/>
  <w:rsids>
    <w:rsidRoot w:val="005A6C9E"/>
    <w:rsid w:val="00000EE7"/>
    <w:rsid w:val="000010E2"/>
    <w:rsid w:val="00011AA6"/>
    <w:rsid w:val="000142BD"/>
    <w:rsid w:val="0002087D"/>
    <w:rsid w:val="00024EFA"/>
    <w:rsid w:val="00030344"/>
    <w:rsid w:val="0004586D"/>
    <w:rsid w:val="00047138"/>
    <w:rsid w:val="0005434B"/>
    <w:rsid w:val="000603F6"/>
    <w:rsid w:val="0008081E"/>
    <w:rsid w:val="00086F95"/>
    <w:rsid w:val="0009472D"/>
    <w:rsid w:val="000A0A92"/>
    <w:rsid w:val="000A0CAB"/>
    <w:rsid w:val="000A5BBA"/>
    <w:rsid w:val="000A60CF"/>
    <w:rsid w:val="000A64F9"/>
    <w:rsid w:val="000B30D6"/>
    <w:rsid w:val="000B4857"/>
    <w:rsid w:val="000C05FB"/>
    <w:rsid w:val="000C4BA1"/>
    <w:rsid w:val="000C4FC8"/>
    <w:rsid w:val="000D5C2E"/>
    <w:rsid w:val="000D72B5"/>
    <w:rsid w:val="000E3EC3"/>
    <w:rsid w:val="000E7731"/>
    <w:rsid w:val="000F24D7"/>
    <w:rsid w:val="000F4F22"/>
    <w:rsid w:val="00102096"/>
    <w:rsid w:val="001138FC"/>
    <w:rsid w:val="001278B3"/>
    <w:rsid w:val="00152894"/>
    <w:rsid w:val="001555FF"/>
    <w:rsid w:val="00160FF6"/>
    <w:rsid w:val="00161626"/>
    <w:rsid w:val="00163C70"/>
    <w:rsid w:val="0016462C"/>
    <w:rsid w:val="00165934"/>
    <w:rsid w:val="001675EE"/>
    <w:rsid w:val="00171E48"/>
    <w:rsid w:val="00173F6E"/>
    <w:rsid w:val="00180E7D"/>
    <w:rsid w:val="001861C7"/>
    <w:rsid w:val="0019329D"/>
    <w:rsid w:val="001A1B26"/>
    <w:rsid w:val="001A5063"/>
    <w:rsid w:val="001A7E5C"/>
    <w:rsid w:val="001B0C9E"/>
    <w:rsid w:val="001B279C"/>
    <w:rsid w:val="001B6839"/>
    <w:rsid w:val="001D746C"/>
    <w:rsid w:val="001D7491"/>
    <w:rsid w:val="001E0896"/>
    <w:rsid w:val="001E0E16"/>
    <w:rsid w:val="001E3414"/>
    <w:rsid w:val="001F79F3"/>
    <w:rsid w:val="00203C71"/>
    <w:rsid w:val="00205324"/>
    <w:rsid w:val="002101BD"/>
    <w:rsid w:val="00213AB7"/>
    <w:rsid w:val="0021468F"/>
    <w:rsid w:val="00221AFC"/>
    <w:rsid w:val="00222E6D"/>
    <w:rsid w:val="002249E1"/>
    <w:rsid w:val="00227D41"/>
    <w:rsid w:val="002370B8"/>
    <w:rsid w:val="002417F5"/>
    <w:rsid w:val="002457BA"/>
    <w:rsid w:val="00245F1A"/>
    <w:rsid w:val="00247F4B"/>
    <w:rsid w:val="00251C16"/>
    <w:rsid w:val="0025568D"/>
    <w:rsid w:val="002563B5"/>
    <w:rsid w:val="002623CC"/>
    <w:rsid w:val="002625B9"/>
    <w:rsid w:val="002628CF"/>
    <w:rsid w:val="00264AB8"/>
    <w:rsid w:val="002655F5"/>
    <w:rsid w:val="0026798F"/>
    <w:rsid w:val="0027005D"/>
    <w:rsid w:val="0028198D"/>
    <w:rsid w:val="00291F16"/>
    <w:rsid w:val="00294D5B"/>
    <w:rsid w:val="00297C7E"/>
    <w:rsid w:val="002A69F5"/>
    <w:rsid w:val="002A7F94"/>
    <w:rsid w:val="002B224D"/>
    <w:rsid w:val="002B4CF2"/>
    <w:rsid w:val="002B67ED"/>
    <w:rsid w:val="002B6D02"/>
    <w:rsid w:val="002E0173"/>
    <w:rsid w:val="002F3F42"/>
    <w:rsid w:val="002F5317"/>
    <w:rsid w:val="003048E5"/>
    <w:rsid w:val="00305E17"/>
    <w:rsid w:val="00310DDC"/>
    <w:rsid w:val="00316A6F"/>
    <w:rsid w:val="00320923"/>
    <w:rsid w:val="00322D88"/>
    <w:rsid w:val="003305A8"/>
    <w:rsid w:val="0034138E"/>
    <w:rsid w:val="00351F47"/>
    <w:rsid w:val="00361ECB"/>
    <w:rsid w:val="00361FAE"/>
    <w:rsid w:val="00363DEF"/>
    <w:rsid w:val="00366997"/>
    <w:rsid w:val="003709D2"/>
    <w:rsid w:val="00373683"/>
    <w:rsid w:val="0038398D"/>
    <w:rsid w:val="003869ED"/>
    <w:rsid w:val="003916C4"/>
    <w:rsid w:val="0039251C"/>
    <w:rsid w:val="003A4A74"/>
    <w:rsid w:val="003C07C7"/>
    <w:rsid w:val="003C084B"/>
    <w:rsid w:val="003C3831"/>
    <w:rsid w:val="003D0AD6"/>
    <w:rsid w:val="003F2BA9"/>
    <w:rsid w:val="003F4BDE"/>
    <w:rsid w:val="003F72C9"/>
    <w:rsid w:val="004012C2"/>
    <w:rsid w:val="004051AD"/>
    <w:rsid w:val="0040673D"/>
    <w:rsid w:val="00420094"/>
    <w:rsid w:val="0042435A"/>
    <w:rsid w:val="00424A68"/>
    <w:rsid w:val="00430216"/>
    <w:rsid w:val="00434330"/>
    <w:rsid w:val="00434AA4"/>
    <w:rsid w:val="00435790"/>
    <w:rsid w:val="0043793A"/>
    <w:rsid w:val="00444DC4"/>
    <w:rsid w:val="0044554A"/>
    <w:rsid w:val="00453680"/>
    <w:rsid w:val="00455909"/>
    <w:rsid w:val="0046248B"/>
    <w:rsid w:val="00470E1E"/>
    <w:rsid w:val="004740B5"/>
    <w:rsid w:val="0047538F"/>
    <w:rsid w:val="00490AC8"/>
    <w:rsid w:val="00493CD3"/>
    <w:rsid w:val="004A2C50"/>
    <w:rsid w:val="004A59F9"/>
    <w:rsid w:val="004A6CC5"/>
    <w:rsid w:val="004B0B60"/>
    <w:rsid w:val="004B46CA"/>
    <w:rsid w:val="004B472C"/>
    <w:rsid w:val="004B637B"/>
    <w:rsid w:val="004C42C1"/>
    <w:rsid w:val="004D7D36"/>
    <w:rsid w:val="00500A12"/>
    <w:rsid w:val="00511E06"/>
    <w:rsid w:val="00514D0C"/>
    <w:rsid w:val="00515007"/>
    <w:rsid w:val="00520053"/>
    <w:rsid w:val="00520A85"/>
    <w:rsid w:val="00526DDC"/>
    <w:rsid w:val="0053166C"/>
    <w:rsid w:val="00533E69"/>
    <w:rsid w:val="00535B2E"/>
    <w:rsid w:val="00537E91"/>
    <w:rsid w:val="005402B5"/>
    <w:rsid w:val="00542D17"/>
    <w:rsid w:val="005454AF"/>
    <w:rsid w:val="005516D3"/>
    <w:rsid w:val="00552360"/>
    <w:rsid w:val="0056436C"/>
    <w:rsid w:val="00573B1E"/>
    <w:rsid w:val="005824B4"/>
    <w:rsid w:val="0059123A"/>
    <w:rsid w:val="00595E19"/>
    <w:rsid w:val="00596C1D"/>
    <w:rsid w:val="005A05B1"/>
    <w:rsid w:val="005A1A9D"/>
    <w:rsid w:val="005A6C9E"/>
    <w:rsid w:val="005B237A"/>
    <w:rsid w:val="005B5A1B"/>
    <w:rsid w:val="005B5C73"/>
    <w:rsid w:val="005B66C3"/>
    <w:rsid w:val="005C2509"/>
    <w:rsid w:val="005C3EDE"/>
    <w:rsid w:val="005C5D22"/>
    <w:rsid w:val="005C6A4B"/>
    <w:rsid w:val="005D2A53"/>
    <w:rsid w:val="005E0572"/>
    <w:rsid w:val="005E2ADC"/>
    <w:rsid w:val="005E65AE"/>
    <w:rsid w:val="005F48E0"/>
    <w:rsid w:val="005F5018"/>
    <w:rsid w:val="00600804"/>
    <w:rsid w:val="006029B0"/>
    <w:rsid w:val="00613339"/>
    <w:rsid w:val="00613375"/>
    <w:rsid w:val="00617E51"/>
    <w:rsid w:val="00627E0A"/>
    <w:rsid w:val="0063186A"/>
    <w:rsid w:val="00633411"/>
    <w:rsid w:val="006346C1"/>
    <w:rsid w:val="0063560C"/>
    <w:rsid w:val="00646A66"/>
    <w:rsid w:val="00651EAA"/>
    <w:rsid w:val="006553AD"/>
    <w:rsid w:val="006571F9"/>
    <w:rsid w:val="0065747D"/>
    <w:rsid w:val="006575EA"/>
    <w:rsid w:val="0066063E"/>
    <w:rsid w:val="006617A6"/>
    <w:rsid w:val="00667627"/>
    <w:rsid w:val="00670C4F"/>
    <w:rsid w:val="006727DE"/>
    <w:rsid w:val="00690E0F"/>
    <w:rsid w:val="006928BF"/>
    <w:rsid w:val="00692BB6"/>
    <w:rsid w:val="006969F6"/>
    <w:rsid w:val="006A2325"/>
    <w:rsid w:val="006A238B"/>
    <w:rsid w:val="006A459F"/>
    <w:rsid w:val="006A633F"/>
    <w:rsid w:val="006A66A7"/>
    <w:rsid w:val="006D48C0"/>
    <w:rsid w:val="006E1645"/>
    <w:rsid w:val="006E174C"/>
    <w:rsid w:val="006E2576"/>
    <w:rsid w:val="006E2656"/>
    <w:rsid w:val="006E26DB"/>
    <w:rsid w:val="006E349C"/>
    <w:rsid w:val="006E781C"/>
    <w:rsid w:val="006F0934"/>
    <w:rsid w:val="006F32DD"/>
    <w:rsid w:val="006F4356"/>
    <w:rsid w:val="00707CCE"/>
    <w:rsid w:val="00712831"/>
    <w:rsid w:val="007129BA"/>
    <w:rsid w:val="00723291"/>
    <w:rsid w:val="00726FCD"/>
    <w:rsid w:val="007304A8"/>
    <w:rsid w:val="00730517"/>
    <w:rsid w:val="007306B3"/>
    <w:rsid w:val="00732C16"/>
    <w:rsid w:val="007331ED"/>
    <w:rsid w:val="007376CB"/>
    <w:rsid w:val="00745516"/>
    <w:rsid w:val="007460BF"/>
    <w:rsid w:val="00746A8D"/>
    <w:rsid w:val="00747BD9"/>
    <w:rsid w:val="007554D5"/>
    <w:rsid w:val="0075572E"/>
    <w:rsid w:val="00755A2C"/>
    <w:rsid w:val="00761F0A"/>
    <w:rsid w:val="007841E9"/>
    <w:rsid w:val="007858CF"/>
    <w:rsid w:val="00786FBE"/>
    <w:rsid w:val="00787EDE"/>
    <w:rsid w:val="007905D3"/>
    <w:rsid w:val="007A048A"/>
    <w:rsid w:val="007A321F"/>
    <w:rsid w:val="007A3DD5"/>
    <w:rsid w:val="007A68CE"/>
    <w:rsid w:val="007B1518"/>
    <w:rsid w:val="007B3E62"/>
    <w:rsid w:val="007B45D9"/>
    <w:rsid w:val="007B46DF"/>
    <w:rsid w:val="007C067A"/>
    <w:rsid w:val="007D164B"/>
    <w:rsid w:val="007D1812"/>
    <w:rsid w:val="007D4378"/>
    <w:rsid w:val="007E289B"/>
    <w:rsid w:val="007E39C1"/>
    <w:rsid w:val="007E7527"/>
    <w:rsid w:val="007F0D4A"/>
    <w:rsid w:val="007F109E"/>
    <w:rsid w:val="007F3626"/>
    <w:rsid w:val="007F4BB1"/>
    <w:rsid w:val="007F640E"/>
    <w:rsid w:val="00801FFD"/>
    <w:rsid w:val="00802D4C"/>
    <w:rsid w:val="00805134"/>
    <w:rsid w:val="00807A99"/>
    <w:rsid w:val="00811F5A"/>
    <w:rsid w:val="008162F7"/>
    <w:rsid w:val="008163C9"/>
    <w:rsid w:val="00822167"/>
    <w:rsid w:val="00823DF4"/>
    <w:rsid w:val="00826522"/>
    <w:rsid w:val="008355D8"/>
    <w:rsid w:val="00841438"/>
    <w:rsid w:val="008450F0"/>
    <w:rsid w:val="00845EFB"/>
    <w:rsid w:val="008513D8"/>
    <w:rsid w:val="00860E15"/>
    <w:rsid w:val="00861CA8"/>
    <w:rsid w:val="00864527"/>
    <w:rsid w:val="0086516A"/>
    <w:rsid w:val="00873EE0"/>
    <w:rsid w:val="00882F14"/>
    <w:rsid w:val="00883740"/>
    <w:rsid w:val="00890656"/>
    <w:rsid w:val="008A3D69"/>
    <w:rsid w:val="008B501D"/>
    <w:rsid w:val="008B7A51"/>
    <w:rsid w:val="008C37BF"/>
    <w:rsid w:val="008C5211"/>
    <w:rsid w:val="008D343D"/>
    <w:rsid w:val="008E1784"/>
    <w:rsid w:val="008E2B41"/>
    <w:rsid w:val="008E6550"/>
    <w:rsid w:val="008F52A1"/>
    <w:rsid w:val="00902529"/>
    <w:rsid w:val="00902F71"/>
    <w:rsid w:val="00917284"/>
    <w:rsid w:val="00917CEA"/>
    <w:rsid w:val="0093183F"/>
    <w:rsid w:val="0093744D"/>
    <w:rsid w:val="00941C53"/>
    <w:rsid w:val="00941CAB"/>
    <w:rsid w:val="00942B25"/>
    <w:rsid w:val="00944A9D"/>
    <w:rsid w:val="00952EF6"/>
    <w:rsid w:val="0095322F"/>
    <w:rsid w:val="00953333"/>
    <w:rsid w:val="0096024B"/>
    <w:rsid w:val="0096071F"/>
    <w:rsid w:val="009623ED"/>
    <w:rsid w:val="00967A0F"/>
    <w:rsid w:val="009750F5"/>
    <w:rsid w:val="00975C2F"/>
    <w:rsid w:val="00976A9E"/>
    <w:rsid w:val="00977A3C"/>
    <w:rsid w:val="00981B9B"/>
    <w:rsid w:val="00982619"/>
    <w:rsid w:val="009A1CD4"/>
    <w:rsid w:val="009A3FF1"/>
    <w:rsid w:val="009B14D1"/>
    <w:rsid w:val="009B21B1"/>
    <w:rsid w:val="009B22E4"/>
    <w:rsid w:val="009B4227"/>
    <w:rsid w:val="009B5A78"/>
    <w:rsid w:val="009B7614"/>
    <w:rsid w:val="009C21BF"/>
    <w:rsid w:val="009C2FFB"/>
    <w:rsid w:val="009C49DB"/>
    <w:rsid w:val="009D3DFB"/>
    <w:rsid w:val="009D4A7D"/>
    <w:rsid w:val="009E077A"/>
    <w:rsid w:val="009F07C3"/>
    <w:rsid w:val="009F36C1"/>
    <w:rsid w:val="009F68CA"/>
    <w:rsid w:val="00A023E3"/>
    <w:rsid w:val="00A03666"/>
    <w:rsid w:val="00A110F5"/>
    <w:rsid w:val="00A11699"/>
    <w:rsid w:val="00A17636"/>
    <w:rsid w:val="00A17D26"/>
    <w:rsid w:val="00A24FD3"/>
    <w:rsid w:val="00A33C58"/>
    <w:rsid w:val="00A37B08"/>
    <w:rsid w:val="00A41A99"/>
    <w:rsid w:val="00A4251A"/>
    <w:rsid w:val="00A45584"/>
    <w:rsid w:val="00A45698"/>
    <w:rsid w:val="00A70317"/>
    <w:rsid w:val="00A901B9"/>
    <w:rsid w:val="00A93289"/>
    <w:rsid w:val="00A94EC5"/>
    <w:rsid w:val="00A95BE1"/>
    <w:rsid w:val="00A96812"/>
    <w:rsid w:val="00AA123E"/>
    <w:rsid w:val="00AA284C"/>
    <w:rsid w:val="00AA5AD0"/>
    <w:rsid w:val="00AB129D"/>
    <w:rsid w:val="00AB21A9"/>
    <w:rsid w:val="00AB5380"/>
    <w:rsid w:val="00AB789B"/>
    <w:rsid w:val="00AB7A16"/>
    <w:rsid w:val="00AD0723"/>
    <w:rsid w:val="00AD188B"/>
    <w:rsid w:val="00AD5296"/>
    <w:rsid w:val="00AD5E4C"/>
    <w:rsid w:val="00AD603A"/>
    <w:rsid w:val="00AD7B51"/>
    <w:rsid w:val="00AE0BFD"/>
    <w:rsid w:val="00AE4DD4"/>
    <w:rsid w:val="00AF2AF6"/>
    <w:rsid w:val="00AF60B3"/>
    <w:rsid w:val="00AF6F13"/>
    <w:rsid w:val="00B05C04"/>
    <w:rsid w:val="00B11072"/>
    <w:rsid w:val="00B2689C"/>
    <w:rsid w:val="00B31583"/>
    <w:rsid w:val="00B32F37"/>
    <w:rsid w:val="00B46647"/>
    <w:rsid w:val="00B51437"/>
    <w:rsid w:val="00B52C1E"/>
    <w:rsid w:val="00B64F9B"/>
    <w:rsid w:val="00B6516E"/>
    <w:rsid w:val="00B826EB"/>
    <w:rsid w:val="00B91F7F"/>
    <w:rsid w:val="00B92780"/>
    <w:rsid w:val="00BA31A5"/>
    <w:rsid w:val="00BA3BF4"/>
    <w:rsid w:val="00BA7F39"/>
    <w:rsid w:val="00BB31E6"/>
    <w:rsid w:val="00BB541F"/>
    <w:rsid w:val="00BC3BA3"/>
    <w:rsid w:val="00BD0FD7"/>
    <w:rsid w:val="00BD1C60"/>
    <w:rsid w:val="00BD42C0"/>
    <w:rsid w:val="00BD7AB8"/>
    <w:rsid w:val="00BE12D0"/>
    <w:rsid w:val="00BF2125"/>
    <w:rsid w:val="00C03339"/>
    <w:rsid w:val="00C042AE"/>
    <w:rsid w:val="00C10395"/>
    <w:rsid w:val="00C11187"/>
    <w:rsid w:val="00C116F0"/>
    <w:rsid w:val="00C208BA"/>
    <w:rsid w:val="00C20F0A"/>
    <w:rsid w:val="00C24565"/>
    <w:rsid w:val="00C24F3B"/>
    <w:rsid w:val="00C27F4D"/>
    <w:rsid w:val="00C33960"/>
    <w:rsid w:val="00C3644B"/>
    <w:rsid w:val="00C40975"/>
    <w:rsid w:val="00C4312D"/>
    <w:rsid w:val="00C45441"/>
    <w:rsid w:val="00C5169B"/>
    <w:rsid w:val="00C522AE"/>
    <w:rsid w:val="00C628E8"/>
    <w:rsid w:val="00C637B4"/>
    <w:rsid w:val="00C65A1E"/>
    <w:rsid w:val="00C66750"/>
    <w:rsid w:val="00C74874"/>
    <w:rsid w:val="00C753C8"/>
    <w:rsid w:val="00C807C8"/>
    <w:rsid w:val="00C822CB"/>
    <w:rsid w:val="00C82CAC"/>
    <w:rsid w:val="00C858FB"/>
    <w:rsid w:val="00C867E9"/>
    <w:rsid w:val="00C94372"/>
    <w:rsid w:val="00CA2587"/>
    <w:rsid w:val="00CA5B92"/>
    <w:rsid w:val="00CB0C34"/>
    <w:rsid w:val="00CB1F4A"/>
    <w:rsid w:val="00CB625E"/>
    <w:rsid w:val="00CC15BA"/>
    <w:rsid w:val="00CC708B"/>
    <w:rsid w:val="00CE6F7E"/>
    <w:rsid w:val="00CF20C5"/>
    <w:rsid w:val="00CF646A"/>
    <w:rsid w:val="00D0504E"/>
    <w:rsid w:val="00D05CAB"/>
    <w:rsid w:val="00D07F41"/>
    <w:rsid w:val="00D11CAE"/>
    <w:rsid w:val="00D222BF"/>
    <w:rsid w:val="00D3064C"/>
    <w:rsid w:val="00D31861"/>
    <w:rsid w:val="00D438EC"/>
    <w:rsid w:val="00D46711"/>
    <w:rsid w:val="00D526A4"/>
    <w:rsid w:val="00D52EDA"/>
    <w:rsid w:val="00D55670"/>
    <w:rsid w:val="00D55CC0"/>
    <w:rsid w:val="00D651D3"/>
    <w:rsid w:val="00D66D1B"/>
    <w:rsid w:val="00D72287"/>
    <w:rsid w:val="00D73134"/>
    <w:rsid w:val="00D745BB"/>
    <w:rsid w:val="00D74FA1"/>
    <w:rsid w:val="00D8164C"/>
    <w:rsid w:val="00D83BA7"/>
    <w:rsid w:val="00D8615D"/>
    <w:rsid w:val="00D86DFF"/>
    <w:rsid w:val="00D930DE"/>
    <w:rsid w:val="00D96F15"/>
    <w:rsid w:val="00DA0DFF"/>
    <w:rsid w:val="00DA1469"/>
    <w:rsid w:val="00DA2E16"/>
    <w:rsid w:val="00DB7510"/>
    <w:rsid w:val="00DC0C47"/>
    <w:rsid w:val="00DC1B98"/>
    <w:rsid w:val="00DC218D"/>
    <w:rsid w:val="00DE64A2"/>
    <w:rsid w:val="00DF2103"/>
    <w:rsid w:val="00DF301F"/>
    <w:rsid w:val="00DF52DA"/>
    <w:rsid w:val="00E13523"/>
    <w:rsid w:val="00E214B1"/>
    <w:rsid w:val="00E21DC2"/>
    <w:rsid w:val="00E279D2"/>
    <w:rsid w:val="00E408E1"/>
    <w:rsid w:val="00E45E38"/>
    <w:rsid w:val="00E50D8C"/>
    <w:rsid w:val="00E521CE"/>
    <w:rsid w:val="00E52DF7"/>
    <w:rsid w:val="00E537E2"/>
    <w:rsid w:val="00E62CB0"/>
    <w:rsid w:val="00E737E7"/>
    <w:rsid w:val="00E775BB"/>
    <w:rsid w:val="00E80286"/>
    <w:rsid w:val="00E84655"/>
    <w:rsid w:val="00E91B1C"/>
    <w:rsid w:val="00E97E3E"/>
    <w:rsid w:val="00EB0AA5"/>
    <w:rsid w:val="00EB1110"/>
    <w:rsid w:val="00EB1D50"/>
    <w:rsid w:val="00EC7F63"/>
    <w:rsid w:val="00ED1BFA"/>
    <w:rsid w:val="00ED5160"/>
    <w:rsid w:val="00ED7C55"/>
    <w:rsid w:val="00EF1DDB"/>
    <w:rsid w:val="00EF3CDF"/>
    <w:rsid w:val="00F026F7"/>
    <w:rsid w:val="00F04428"/>
    <w:rsid w:val="00F1068E"/>
    <w:rsid w:val="00F175F5"/>
    <w:rsid w:val="00F240CB"/>
    <w:rsid w:val="00F24E06"/>
    <w:rsid w:val="00F42A2C"/>
    <w:rsid w:val="00F63D75"/>
    <w:rsid w:val="00F655C8"/>
    <w:rsid w:val="00F67CAD"/>
    <w:rsid w:val="00F70DA9"/>
    <w:rsid w:val="00F721F2"/>
    <w:rsid w:val="00F7235E"/>
    <w:rsid w:val="00F72512"/>
    <w:rsid w:val="00F829DE"/>
    <w:rsid w:val="00F83A18"/>
    <w:rsid w:val="00F85CFE"/>
    <w:rsid w:val="00FA5AC3"/>
    <w:rsid w:val="00FA7778"/>
    <w:rsid w:val="00FB379D"/>
    <w:rsid w:val="00FC41E0"/>
    <w:rsid w:val="00FC5966"/>
    <w:rsid w:val="00FD3145"/>
    <w:rsid w:val="00FE1C1D"/>
    <w:rsid w:val="00FE5799"/>
    <w:rsid w:val="00FF2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ru v:ext="edit" colors="#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A53"/>
    <w:pPr>
      <w:spacing w:line="300" w:lineRule="atLeast"/>
      <w:jc w:val="both"/>
    </w:pPr>
    <w:rPr>
      <w:rFonts w:ascii="Arial" w:hAnsi="Arial"/>
      <w:sz w:val="18"/>
      <w:szCs w:val="18"/>
    </w:rPr>
  </w:style>
  <w:style w:type="paragraph" w:styleId="Heading1">
    <w:name w:val="heading 1"/>
    <w:basedOn w:val="Normal"/>
    <w:next w:val="Normal"/>
    <w:link w:val="Heading1Char"/>
    <w:qFormat/>
    <w:rsid w:val="00CA2587"/>
    <w:pPr>
      <w:keepNext/>
      <w:keepLines/>
      <w:spacing w:after="180"/>
      <w:jc w:val="center"/>
      <w:outlineLvl w:val="0"/>
    </w:pPr>
    <w:rPr>
      <w:rFonts w:asciiTheme="majorHAnsi" w:eastAsiaTheme="majorEastAsia" w:hAnsiTheme="majorHAnsi" w:cstheme="majorBidi"/>
      <w:bCs/>
      <w:color w:val="595959" w:themeColor="text1" w:themeTint="A6"/>
      <w:sz w:val="28"/>
      <w:szCs w:val="28"/>
    </w:rPr>
  </w:style>
  <w:style w:type="paragraph" w:styleId="Heading2">
    <w:name w:val="heading 2"/>
    <w:basedOn w:val="Normal"/>
    <w:next w:val="Normal"/>
    <w:qFormat/>
    <w:rsid w:val="002628CF"/>
    <w:pPr>
      <w:autoSpaceDE w:val="0"/>
      <w:autoSpaceDN w:val="0"/>
      <w:adjustRightInd w:val="0"/>
      <w:spacing w:before="100" w:after="100"/>
      <w:jc w:val="left"/>
      <w:outlineLvl w:val="1"/>
    </w:pPr>
    <w:rPr>
      <w:rFonts w:ascii="HelveticaNeue-Bold" w:hAnsi="HelveticaNeue-Bold" w:cs="HelveticaNeue-Bold"/>
      <w:bCs/>
      <w:color w:val="000080"/>
      <w:sz w:val="22"/>
      <w:szCs w:val="22"/>
    </w:rPr>
  </w:style>
  <w:style w:type="paragraph" w:styleId="Heading7">
    <w:name w:val="heading 7"/>
    <w:basedOn w:val="Normal"/>
    <w:next w:val="Normal"/>
    <w:qFormat/>
    <w:rsid w:val="00D55CC0"/>
    <w:pPr>
      <w:keepNext/>
      <w:jc w:val="left"/>
      <w:outlineLvl w:val="6"/>
    </w:pPr>
    <w:rPr>
      <w:rFonts w:cs="Arial"/>
      <w:b/>
      <w:caps/>
      <w:color w:val="333399"/>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D4A"/>
    <w:pPr>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55CC0"/>
    <w:pPr>
      <w:tabs>
        <w:tab w:val="center" w:pos="4153"/>
        <w:tab w:val="right" w:pos="8306"/>
      </w:tabs>
    </w:pPr>
  </w:style>
  <w:style w:type="paragraph" w:styleId="Footer">
    <w:name w:val="footer"/>
    <w:basedOn w:val="Normal"/>
    <w:link w:val="FooterChar"/>
    <w:uiPriority w:val="99"/>
    <w:rsid w:val="00D55CC0"/>
    <w:pPr>
      <w:tabs>
        <w:tab w:val="center" w:pos="4153"/>
        <w:tab w:val="right" w:pos="8306"/>
      </w:tabs>
    </w:pPr>
  </w:style>
  <w:style w:type="character" w:styleId="PageNumber">
    <w:name w:val="page number"/>
    <w:basedOn w:val="DefaultParagraphFont"/>
    <w:rsid w:val="00D55CC0"/>
  </w:style>
  <w:style w:type="character" w:styleId="Hyperlink">
    <w:name w:val="Hyperlink"/>
    <w:basedOn w:val="DefaultParagraphFont"/>
    <w:rsid w:val="00D55CC0"/>
    <w:rPr>
      <w:color w:val="0000FF"/>
      <w:u w:val="single"/>
    </w:rPr>
  </w:style>
  <w:style w:type="paragraph" w:styleId="EndnoteText">
    <w:name w:val="endnote text"/>
    <w:basedOn w:val="Normal"/>
    <w:link w:val="EndnoteTextChar"/>
    <w:rsid w:val="005D2A53"/>
    <w:pPr>
      <w:spacing w:after="60" w:line="240" w:lineRule="auto"/>
    </w:pPr>
    <w:rPr>
      <w:sz w:val="16"/>
      <w:szCs w:val="20"/>
    </w:rPr>
  </w:style>
  <w:style w:type="character" w:styleId="EndnoteReference">
    <w:name w:val="endnote reference"/>
    <w:basedOn w:val="DefaultParagraphFont"/>
    <w:semiHidden/>
    <w:rsid w:val="00322D88"/>
    <w:rPr>
      <w:vertAlign w:val="superscript"/>
    </w:rPr>
  </w:style>
  <w:style w:type="paragraph" w:styleId="Caption">
    <w:name w:val="caption"/>
    <w:basedOn w:val="Normal"/>
    <w:next w:val="Normal"/>
    <w:qFormat/>
    <w:rsid w:val="006A66A7"/>
    <w:pPr>
      <w:spacing w:before="60" w:after="60"/>
    </w:pPr>
    <w:rPr>
      <w:rFonts w:eastAsia="Batang"/>
      <w:b/>
      <w:bCs/>
      <w:sz w:val="20"/>
      <w:szCs w:val="20"/>
      <w:lang w:eastAsia="ko-KR"/>
    </w:rPr>
  </w:style>
  <w:style w:type="paragraph" w:styleId="FootnoteText">
    <w:name w:val="footnote text"/>
    <w:basedOn w:val="Normal"/>
    <w:link w:val="FootnoteTextChar"/>
    <w:semiHidden/>
    <w:rsid w:val="00755A2C"/>
    <w:rPr>
      <w:sz w:val="20"/>
      <w:szCs w:val="20"/>
    </w:rPr>
  </w:style>
  <w:style w:type="character" w:styleId="FootnoteReference">
    <w:name w:val="footnote reference"/>
    <w:basedOn w:val="DefaultParagraphFont"/>
    <w:semiHidden/>
    <w:rsid w:val="00755A2C"/>
    <w:rPr>
      <w:vertAlign w:val="superscript"/>
    </w:rPr>
  </w:style>
  <w:style w:type="character" w:customStyle="1" w:styleId="FootnoteTextChar">
    <w:name w:val="Footnote Text Char"/>
    <w:basedOn w:val="DefaultParagraphFont"/>
    <w:link w:val="FootnoteText"/>
    <w:semiHidden/>
    <w:locked/>
    <w:rsid w:val="000E3EC3"/>
    <w:rPr>
      <w:rFonts w:ascii="Arial" w:hAnsi="Arial"/>
      <w:lang w:val="en-GB" w:eastAsia="en-GB" w:bidi="ar-SA"/>
    </w:rPr>
  </w:style>
  <w:style w:type="paragraph" w:styleId="BalloonText">
    <w:name w:val="Balloon Text"/>
    <w:basedOn w:val="Normal"/>
    <w:link w:val="BalloonTextChar"/>
    <w:rsid w:val="005D2A53"/>
    <w:rPr>
      <w:rFonts w:ascii="Tahoma" w:hAnsi="Tahoma" w:cs="Tahoma"/>
      <w:sz w:val="16"/>
      <w:szCs w:val="16"/>
    </w:rPr>
  </w:style>
  <w:style w:type="character" w:customStyle="1" w:styleId="BalloonTextChar">
    <w:name w:val="Balloon Text Char"/>
    <w:basedOn w:val="DefaultParagraphFont"/>
    <w:link w:val="BalloonText"/>
    <w:rsid w:val="005D2A53"/>
    <w:rPr>
      <w:rFonts w:ascii="Tahoma" w:hAnsi="Tahoma" w:cs="Tahoma"/>
      <w:sz w:val="16"/>
      <w:szCs w:val="16"/>
    </w:rPr>
  </w:style>
  <w:style w:type="character" w:customStyle="1" w:styleId="EndnoteTextChar">
    <w:name w:val="Endnote Text Char"/>
    <w:basedOn w:val="DefaultParagraphFont"/>
    <w:link w:val="EndnoteText"/>
    <w:rsid w:val="005D2A53"/>
    <w:rPr>
      <w:rFonts w:ascii="Arial" w:hAnsi="Arial"/>
      <w:sz w:val="16"/>
    </w:rPr>
  </w:style>
  <w:style w:type="character" w:styleId="FollowedHyperlink">
    <w:name w:val="FollowedHyperlink"/>
    <w:basedOn w:val="DefaultParagraphFont"/>
    <w:rsid w:val="005D2A53"/>
    <w:rPr>
      <w:color w:val="800080" w:themeColor="followedHyperlink"/>
      <w:u w:val="single"/>
    </w:rPr>
  </w:style>
  <w:style w:type="character" w:customStyle="1" w:styleId="HeaderChar">
    <w:name w:val="Header Char"/>
    <w:basedOn w:val="DefaultParagraphFont"/>
    <w:link w:val="Header"/>
    <w:uiPriority w:val="99"/>
    <w:rsid w:val="005D2A53"/>
    <w:rPr>
      <w:rFonts w:ascii="Arial" w:hAnsi="Arial"/>
      <w:sz w:val="18"/>
      <w:szCs w:val="24"/>
    </w:rPr>
  </w:style>
  <w:style w:type="character" w:customStyle="1" w:styleId="Heading1Char">
    <w:name w:val="Heading 1 Char"/>
    <w:basedOn w:val="DefaultParagraphFont"/>
    <w:link w:val="Heading1"/>
    <w:rsid w:val="00CA2587"/>
    <w:rPr>
      <w:rFonts w:asciiTheme="majorHAnsi" w:eastAsiaTheme="majorEastAsia" w:hAnsiTheme="majorHAnsi" w:cstheme="majorBidi"/>
      <w:bCs/>
      <w:color w:val="595959" w:themeColor="text1" w:themeTint="A6"/>
      <w:sz w:val="28"/>
      <w:szCs w:val="28"/>
    </w:rPr>
  </w:style>
  <w:style w:type="character" w:customStyle="1" w:styleId="FooterChar">
    <w:name w:val="Footer Char"/>
    <w:basedOn w:val="DefaultParagraphFont"/>
    <w:link w:val="Footer"/>
    <w:uiPriority w:val="99"/>
    <w:rsid w:val="005D2A53"/>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www.growingforestpartnerships.org/locally-controlled-forestry" TargetMode="External"/><Relationship Id="rId2" Type="http://schemas.openxmlformats.org/officeDocument/2006/relationships/hyperlink" Target="http://www.smartmoney.com/investing/stocks/timber-11903/" TargetMode="External"/><Relationship Id="rId1" Type="http://schemas.openxmlformats.org/officeDocument/2006/relationships/hyperlink" Target="http://www.economist.com/node/8653021" TargetMode="External"/><Relationship Id="rId4" Type="http://schemas.openxmlformats.org/officeDocument/2006/relationships/hyperlink" Target="http://www.ukmediacentre.pwc.com/News-Releases/Banks-and-financial-institutions-given-the-tools-to-move-onto-the-frontline-for-battle-against-deforestation-e0d.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ephen.kelleher@iucn.org" TargetMode="External"/><Relationship Id="rId1" Type="http://schemas.openxmlformats.org/officeDocument/2006/relationships/hyperlink" Target="http://www.iucn.org/forest/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0D04-F01C-4967-B371-8BFF554E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2693</Words>
  <Characters>15353</Characters>
  <Application>Microsoft Office Word</Application>
  <DocSecurity>0</DocSecurity>
  <Lines>127</Lines>
  <Paragraphs>36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We're envisaging a short intro/idiot's guide to markets, incentives, landscape conservation and sustainable livelihoods</vt:lpstr>
      <vt:lpstr>    </vt:lpstr>
      <vt:lpstr>Who and what is affected?</vt:lpstr>
      <vt:lpstr/>
      <vt:lpstr>What does this contribute to poor people’s livelihoods?</vt:lpstr>
      <vt:lpstr>What are the broader economic gains?</vt:lpstr>
      <vt:lpstr>So what is the value of investing in locally-controlled forestry?</vt:lpstr>
      <vt:lpstr/>
      <vt:lpstr>What needs to change if we are to secure these economic gains?</vt:lpstr>
      <vt:lpstr>Notes and references</vt:lpstr>
    </vt:vector>
  </TitlesOfParts>
  <Company/>
  <LinksUpToDate>false</LinksUpToDate>
  <CharactersWithSpaces>18010</CharactersWithSpaces>
  <SharedDoc>false</SharedDoc>
  <HLinks>
    <vt:vector size="24" baseType="variant">
      <vt:variant>
        <vt:i4>3866697</vt:i4>
      </vt:variant>
      <vt:variant>
        <vt:i4>3</vt:i4>
      </vt:variant>
      <vt:variant>
        <vt:i4>0</vt:i4>
      </vt:variant>
      <vt:variant>
        <vt:i4>5</vt:i4>
      </vt:variant>
      <vt:variant>
        <vt:lpwstr>http://www.communityforestryinternational.org/whats_new.html</vt:lpwstr>
      </vt:variant>
      <vt:variant>
        <vt:lpwstr/>
      </vt:variant>
      <vt:variant>
        <vt:i4>1376288</vt:i4>
      </vt:variant>
      <vt:variant>
        <vt:i4>0</vt:i4>
      </vt:variant>
      <vt:variant>
        <vt:i4>0</vt:i4>
      </vt:variant>
      <vt:variant>
        <vt:i4>5</vt:i4>
      </vt:variant>
      <vt:variant>
        <vt:lpwstr>http://intranet.iucn.org/webfiles/ftp/public/ForumEvents/E1248/Final Document/1248_de Groot_R_Restoring Ecosystem services and their values, investing in ecosystem restoration pays.pdf</vt:lpwstr>
      </vt:variant>
      <vt:variant>
        <vt:lpwstr/>
      </vt:variant>
      <vt:variant>
        <vt:i4>2883620</vt:i4>
      </vt:variant>
      <vt:variant>
        <vt:i4>3</vt:i4>
      </vt:variant>
      <vt:variant>
        <vt:i4>0</vt:i4>
      </vt:variant>
      <vt:variant>
        <vt:i4>5</vt:i4>
      </vt:variant>
      <vt:variant>
        <vt:lpwstr>http://www.iucn.org/forest</vt:lpwstr>
      </vt:variant>
      <vt:variant>
        <vt:lpwstr/>
      </vt:variant>
      <vt:variant>
        <vt:i4>2097152</vt:i4>
      </vt:variant>
      <vt:variant>
        <vt:i4>0</vt:i4>
      </vt:variant>
      <vt:variant>
        <vt:i4>0</vt:i4>
      </vt:variant>
      <vt:variant>
        <vt:i4>5</vt:i4>
      </vt:variant>
      <vt:variant>
        <vt:lpwstr>mailto:forests@iucn.org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envisaging a short intro/idiot's guide to markets, incentives, landscape conservation and sustainable livelihoods</dc:title>
  <dc:creator>Lucy</dc:creator>
  <cp:lastModifiedBy>Daniel Shaw</cp:lastModifiedBy>
  <cp:revision>2</cp:revision>
  <cp:lastPrinted>2011-01-26T15:11:00Z</cp:lastPrinted>
  <dcterms:created xsi:type="dcterms:W3CDTF">2011-01-28T12:32:00Z</dcterms:created>
  <dcterms:modified xsi:type="dcterms:W3CDTF">2011-01-28T12:32:00Z</dcterms:modified>
</cp:coreProperties>
</file>